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4"/>
        <w:adjustRightInd w:val="0"/>
        <w:snapToGrid w:val="0"/>
        <w:spacing w:before="0" w:after="156" w:afterLines="50" w:line="240" w:lineRule="auto"/>
        <w:jc w:val="center"/>
        <w:rPr>
          <w:rFonts w:hint="eastAsia" w:ascii="仿宋" w:hAnsi="仿宋" w:eastAsia="仿宋"/>
          <w:sz w:val="21"/>
          <w:szCs w:val="21"/>
        </w:rPr>
      </w:pPr>
      <w:bookmarkStart w:id="770" w:name="_Toc26982"/>
      <w:r>
        <w:rPr>
          <w:rFonts w:hint="eastAsia" w:ascii="仿宋" w:hAnsi="仿宋" w:eastAsia="仿宋"/>
          <w:sz w:val="21"/>
          <w:szCs w:val="21"/>
        </w:rPr>
        <w:t>81.7中国人民银行 国家外汇管理局关于调整跨境融资宏观审慎调节参数的通知</w:t>
      </w:r>
      <w:r>
        <w:rPr>
          <w:rFonts w:hint="eastAsia" w:ascii="仿宋" w:hAnsi="仿宋" w:eastAsia="仿宋"/>
          <w:sz w:val="21"/>
          <w:szCs w:val="21"/>
        </w:rPr>
        <w:br w:type="textWrapping"/>
      </w:r>
      <w:r>
        <w:rPr>
          <w:rFonts w:hint="eastAsia" w:ascii="仿宋" w:hAnsi="仿宋" w:eastAsia="仿宋"/>
          <w:sz w:val="21"/>
          <w:szCs w:val="21"/>
        </w:rPr>
        <w:t>银发〔2025〕7号</w:t>
      </w:r>
      <w:bookmarkEnd w:id="770"/>
    </w:p>
    <w:p>
      <w:pPr>
        <w:adjustRightInd w:val="0"/>
        <w:snapToGrid w:val="0"/>
        <w:spacing w:line="312" w:lineRule="auto"/>
        <w:rPr>
          <w:rFonts w:ascii="仿宋" w:eastAsia="仿宋"/>
        </w:rPr>
      </w:pPr>
      <w:r>
        <w:rPr>
          <w:rFonts w:ascii="仿宋" w:eastAsia="仿宋"/>
        </w:rPr>
        <w:t>中国人民银行上海总部，各省、自治区、直辖市及计划单列市分行；国家外汇管理局各省、自治区、直辖市及计划单列市分局；国家开发银行，各政策性银行、国有商业银行，中国邮政储蓄银行，各股份制商业银行：</w:t>
      </w:r>
    </w:p>
    <w:p>
      <w:pPr>
        <w:adjustRightInd w:val="0"/>
        <w:snapToGrid w:val="0"/>
        <w:spacing w:line="312" w:lineRule="auto"/>
        <w:ind w:firstLine="420" w:firstLineChars="200"/>
        <w:rPr>
          <w:rFonts w:ascii="仿宋" w:eastAsia="仿宋"/>
        </w:rPr>
      </w:pPr>
      <w:r>
        <w:rPr>
          <w:rFonts w:ascii="仿宋" w:eastAsia="仿宋"/>
        </w:rPr>
        <w:t>为便利企业和金融机构从境外融入资金，根据当前宏观经济和国际收支状况，中国人民银行、国家外汇管理局决定将企业和金融机构的跨境融资宏观审慎调节参数由1.5上调至1.75。</w:t>
      </w:r>
    </w:p>
    <w:p>
      <w:pPr>
        <w:adjustRightInd w:val="0"/>
        <w:snapToGrid w:val="0"/>
        <w:spacing w:line="312" w:lineRule="auto"/>
        <w:ind w:firstLine="420" w:firstLineChars="200"/>
        <w:rPr>
          <w:rFonts w:ascii="仿宋" w:eastAsia="仿宋"/>
        </w:rPr>
      </w:pPr>
      <w:r>
        <w:rPr>
          <w:rFonts w:ascii="仿宋" w:eastAsia="仿宋"/>
        </w:rPr>
        <w:t>本通知自发布之日起实施，跨境融资宏观审慎管理的其他事宜仍以《中国人民银行关于全口径跨境融资宏观审慎管理有关事宜的通知》（银发〔2017〕9号）为准。</w:t>
      </w: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rPr>
          <w:rFonts w:ascii="仿宋" w:eastAsia="仿宋"/>
        </w:rPr>
      </w:pPr>
    </w:p>
    <w:p>
      <w:pPr>
        <w:adjustRightInd w:val="0"/>
        <w:snapToGrid w:val="0"/>
        <w:spacing w:line="312" w:lineRule="auto"/>
        <w:ind w:firstLine="420" w:firstLineChars="200"/>
        <w:jc w:val="right"/>
        <w:rPr>
          <w:rFonts w:ascii="仿宋" w:eastAsia="仿宋"/>
        </w:rPr>
      </w:pPr>
      <w:r>
        <w:rPr>
          <w:rFonts w:ascii="仿宋" w:eastAsia="仿宋"/>
        </w:rPr>
        <w:t>中国人民银行</w:t>
      </w:r>
    </w:p>
    <w:p>
      <w:pPr>
        <w:adjustRightInd w:val="0"/>
        <w:snapToGrid w:val="0"/>
        <w:spacing w:line="312" w:lineRule="auto"/>
        <w:ind w:firstLine="420" w:firstLineChars="200"/>
        <w:jc w:val="right"/>
        <w:rPr>
          <w:rFonts w:ascii="仿宋" w:eastAsia="仿宋"/>
        </w:rPr>
      </w:pPr>
      <w:r>
        <w:rPr>
          <w:rFonts w:ascii="仿宋" w:eastAsia="仿宋"/>
        </w:rPr>
        <w:t>国家外汇管理局</w:t>
      </w:r>
    </w:p>
    <w:p>
      <w:pPr>
        <w:adjustRightInd w:val="0"/>
        <w:snapToGrid w:val="0"/>
        <w:spacing w:line="312" w:lineRule="auto"/>
        <w:ind w:firstLine="420" w:firstLineChars="200"/>
        <w:jc w:val="right"/>
        <w:rPr>
          <w:rFonts w:ascii="仿宋" w:eastAsia="仿宋"/>
        </w:rPr>
      </w:pPr>
      <w:r>
        <w:rPr>
          <w:rFonts w:ascii="仿宋" w:eastAsia="仿宋"/>
        </w:rPr>
        <w:t>2025年1月13日</w:t>
      </w:r>
    </w:p>
    <w:p>
      <w:pPr>
        <w:adjustRightInd w:val="0"/>
        <w:snapToGrid w:val="0"/>
        <w:spacing w:line="312" w:lineRule="auto"/>
        <w:ind w:firstLine="420" w:firstLineChars="200"/>
        <w:rPr>
          <w:rFonts w:ascii="仿宋" w:eastAsia="仿宋"/>
        </w:rPr>
      </w:pPr>
    </w:p>
    <w:p>
      <w:pPr>
        <w:widowControl/>
        <w:jc w:val="left"/>
        <w:rPr>
          <w:rFonts w:hint="eastAsia" w:ascii="仿宋" w:hAnsi="仿宋" w:eastAsia="仿宋"/>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