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SafeCover</w:t>
      </w:r>
    </w:p>
    <w:p>
      <w:pPr>
        <w:jc w:val="center"/>
      </w:pPr>
      <w:r>
        <w:rPr>
          <w:sz w:val="24"/>
        </w:rPr>
        <w:t>Embedded microinsurance for e-commerce and retail POS: business case, architecture, and partnership path for a licensed insurer.</w:t>
      </w:r>
    </w:p>
    <w:p>
      <w:pPr>
        <w:jc w:val="center"/>
      </w:pPr>
      <w:r>
        <w:t>Confidential — partner discussion. Prepared May 2026. Builds on the internal white paper draft (Embedded MicroInsurance Platform Business Model) and the SafeCover reference implementation.</w:t>
      </w:r>
    </w:p>
    <w:p>
      <w:pPr>
        <w:pStyle w:val="Heading1"/>
      </w:pPr>
      <w:r>
        <w:t>Executive summary</w:t>
      </w:r>
    </w:p>
    <w:p>
      <w:pPr>
        <w:spacing w:after="120"/>
      </w:pPr>
      <w:r>
        <w:t>SafeCover is an API-first embedded microinsurance orchestration layer: quotes, bind, payment-aligned confirmation, webhooks, and a unified retail POS flow—so merchants can offer contextual protection without sending shoppers to a separate insurance journey.</w:t>
      </w:r>
    </w:p>
    <w:p>
      <w:pPr>
        <w:spacing w:after="120"/>
      </w:pPr>
      <w:r>
        <w:rPr>
          <w:b/>
        </w:rPr>
        <w:t>Ask to the carrier: pilot one filed product (or rider) through SafeCover’s integration surface, connect your PAS and claims rails, and co-sell through one anchor distributor (e-commerce or POS)—proving attach rate, loss behaviour, and operational fit in 90–120 days.</w:t>
      </w:r>
    </w:p>
    <w:p>
      <w:pPr>
        <w:pStyle w:val="Heading1"/>
      </w:pPr>
      <w:r>
        <w:t>Market opportunity</w:t>
      </w:r>
    </w:p>
    <w:p>
      <w:pPr>
        <w:spacing w:after="120"/>
      </w:pPr>
      <w:r>
        <w:t>Embedded insurance shifts purchase from “find a policy later” to “protect this basket, trip, or ticket now.” Industry commentary points to a large gross-premium pool this decade; the strategic direction is consistent: ecosystems win distribution, and carriers win when partners meet them with APIs, speed, and clear compliance hooks.</w:t>
      </w:r>
    </w:p>
    <w:p>
      <w:pPr>
        <w:spacing w:after="120"/>
      </w:pPr>
      <w:r>
        <w:t>Microinsurance fits short, well-defined exposures. SafeCover uses scenario-based offers and multi-provider comparison in demo workshops, with a production path to a single approved carrier per market.</w:t>
      </w:r>
    </w:p>
    <w:p>
      <w:r>
        <w:drawing>
          <wp:inline xmlns:a="http://schemas.openxmlformats.org/drawingml/2006/main" xmlns:pic="http://schemas.openxmlformats.org/drawingml/2006/picture">
            <wp:extent cx="5760720" cy="33646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461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760720" cy="28511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5116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760720" cy="292125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2125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120"/>
      </w:pPr>
      <w:r>
        <w:t>Illustrative charts for discussion only—not firm forecasts or scored research.</w:t>
      </w:r>
    </w:p>
    <w:p>
      <w:pPr>
        <w:pStyle w:val="Heading1"/>
      </w:pPr>
      <w:r>
        <w:t>Stakeholder value</w:t>
      </w:r>
    </w:p>
    <w:p>
      <w:r>
        <w:drawing>
          <wp:inline xmlns:a="http://schemas.openxmlformats.org/drawingml/2006/main" xmlns:pic="http://schemas.openxmlformats.org/drawingml/2006/picture">
            <wp:extent cx="5760720" cy="294588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4588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760720" cy="169180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9180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760720" cy="225942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5942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What SafeCover is today (reference stack)</w:t>
      </w:r>
    </w:p>
    <w:p>
      <w:pPr>
        <w:pStyle w:val="Heading2"/>
      </w:pPr>
      <w:r>
        <w:t>Distribution surface</w:t>
      </w:r>
    </w:p>
    <w:p>
      <w:pPr>
        <w:pStyle w:val="ListBullet"/>
      </w:pPr>
      <w:r>
        <w:t>Node.js Express API: quote, bind, confirm, webhook, claims stubs</w:t>
      </w:r>
    </w:p>
    <w:p>
      <w:pPr>
        <w:pStyle w:val="ListBullet"/>
      </w:pPr>
      <w:r>
        <w:t>POST /api/pos/enhanced for retail: quote, bind, confirm, or sale</w:t>
      </w:r>
    </w:p>
    <w:p>
      <w:pPr>
        <w:pStyle w:val="ListBullet"/>
      </w:pPr>
      <w:r>
        <w:t>Universal widget + adapters: Shopify, WooCommerce, BigCommerce, Magento, generic</w:t>
      </w:r>
    </w:p>
    <w:p>
      <w:pPr>
        <w:pStyle w:val="ListBullet"/>
      </w:pPr>
      <w:r>
        <w:t>WooCommerce PHP plugin path for server-side checkout</w:t>
      </w:r>
    </w:p>
    <w:p>
      <w:pPr>
        <w:pStyle w:val="Heading2"/>
      </w:pPr>
      <w:r>
        <w:t>Insurer-grade hooks (prototype)</w:t>
      </w:r>
    </w:p>
    <w:p>
      <w:pPr>
        <w:pStyle w:val="ListBullet"/>
      </w:pPr>
      <w:r>
        <w:t>Strict mode: API keys, quote signing, registered quotes at bind, CORS allowlist</w:t>
      </w:r>
    </w:p>
    <w:p>
      <w:pPr>
        <w:pStyle w:val="ListBullet"/>
      </w:pPr>
      <w:r>
        <w:t>Webhook HMAC, bind idempotency, regulatory_snapshot on policies</w:t>
      </w:r>
    </w:p>
    <w:p>
      <w:pPr>
        <w:pStyle w:val="ListBullet"/>
      </w:pPr>
      <w:r>
        <w:t>Environment placeholders: carrier entity, license ref, filing code, wording version</w:t>
      </w:r>
    </w:p>
    <w:p>
      <w:pPr>
        <w:pStyle w:val="ListBullet"/>
      </w:pPr>
      <w:r>
        <w:t>Solidity contract in repo; on-chain issuance from API is a roadmap item</w:t>
      </w:r>
    </w:p>
    <w:p>
      <w:pPr>
        <w:spacing w:after="120"/>
      </w:pPr>
      <w:r>
        <w:t>See README.md, docs/API.md, docs/PRODUCTION.md, and docs/WHITEPAPER-CODEBASE-MAP.md in the repository.</w:t>
      </w:r>
    </w:p>
    <w:p>
      <w:pPr>
        <w:pStyle w:val="Heading1"/>
      </w:pPr>
      <w:r>
        <w:t>Business case for the insurer</w:t>
      </w:r>
    </w:p>
    <w:p>
      <w:pPr>
        <w:pStyle w:val="ListBullet"/>
      </w:pPr>
      <w:r>
        <w:t>Distribution leverage: digital-native volumes through checkout and POS vs standalone D2C acquisition.</w:t>
      </w:r>
    </w:p>
    <w:p>
      <w:pPr>
        <w:pStyle w:val="ListBullet"/>
      </w:pPr>
      <w:r>
        <w:t>Product modularisation: scenario-tariff modules map to filed ingredients you approve.</w:t>
      </w:r>
    </w:p>
    <w:p>
      <w:pPr>
        <w:pStyle w:val="ListBullet"/>
      </w:pPr>
      <w:r>
        <w:t>Operational efficiency: server-to-server APIs, idempotent binds, webhook contracts.</w:t>
      </w:r>
    </w:p>
    <w:p>
      <w:pPr>
        <w:pStyle w:val="ListBullet"/>
      </w:pPr>
      <w:r>
        <w:t>Innovation narrative: embedded distribution with optional ledger path where appropriate.</w:t>
      </w:r>
    </w:p>
    <w:p>
      <w:pPr>
        <w:pStyle w:val="Heading1"/>
      </w:pPr>
      <w:r>
        <w:t>Proposed pilot (90–120 days)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Phase</w:t>
            </w:r>
          </w:p>
        </w:tc>
        <w:tc>
          <w:tcPr>
            <w:tcW w:type="dxa" w:w="4320"/>
          </w:tcPr>
          <w:p>
            <w:r>
              <w:t>Outcomes</w:t>
            </w:r>
          </w:p>
        </w:tc>
      </w:tr>
      <w:tr>
        <w:tc>
          <w:tcPr>
            <w:tcW w:type="dxa" w:w="4320"/>
          </w:tcPr>
          <w:p>
            <w:r>
              <w:t>1 · Design</w:t>
            </w:r>
          </w:p>
        </w:tc>
        <w:tc>
          <w:tcPr>
            <w:tcW w:type="dxa" w:w="4320"/>
          </w:tcPr>
          <w:p>
            <w:r>
              <w:t>Chosen scenario(s), tariff mapping, disclosures, sandbox PAS events.</w:t>
            </w:r>
          </w:p>
        </w:tc>
      </w:tr>
      <w:tr>
        <w:tc>
          <w:tcPr>
            <w:tcW w:type="dxa" w:w="4320"/>
          </w:tcPr>
          <w:p>
            <w:r>
              <w:t>2 · Integrate</w:t>
            </w:r>
          </w:p>
        </w:tc>
        <w:tc>
          <w:tcPr>
            <w:tcW w:type="dxa" w:w="4320"/>
          </w:tcPr>
          <w:p>
            <w:r>
              <w:t>Strict mode in staging; webhook to PAS; confirm on payment capture.</w:t>
            </w:r>
          </w:p>
        </w:tc>
      </w:tr>
      <w:tr>
        <w:tc>
          <w:tcPr>
            <w:tcW w:type="dxa" w:w="4320"/>
          </w:tcPr>
          <w:p>
            <w:r>
              <w:t>3 · Live limited</w:t>
            </w:r>
          </w:p>
        </w:tc>
        <w:tc>
          <w:tcPr>
            <w:tcW w:type="dxa" w:w="4320"/>
          </w:tcPr>
          <w:p>
            <w:r>
              <w:t>One merchant or franchise POS cohort; monitoring, loss run, UX metrics.</w:t>
            </w:r>
          </w:p>
        </w:tc>
      </w:tr>
      <w:tr>
        <w:tc>
          <w:tcPr>
            <w:tcW w:type="dxa" w:w="4320"/>
          </w:tcPr>
          <w:p>
            <w:r>
              <w:t>4 · Scale decision</w:t>
            </w:r>
          </w:p>
        </w:tc>
        <w:tc>
          <w:tcPr>
            <w:tcW w:type="dxa" w:w="4320"/>
          </w:tcPr>
          <w:p>
            <w:r>
              <w:t>Attach rate, conversion, claims cycle, partner revenue—go / refine / pause.</w:t>
            </w:r>
          </w:p>
        </w:tc>
      </w:tr>
    </w:tbl>
    <w:p>
      <w:pPr>
        <w:pStyle w:val="Heading1"/>
      </w:pPr>
      <w:r>
        <w:t>Transparency (underwriting trust)</w:t>
      </w:r>
    </w:p>
    <w:p>
      <w:pPr>
        <w:spacing w:after="120"/>
      </w:pPr>
      <w:r>
        <w:t>The reference implementation does not replace filings, capital, licensed claims payment, or full PAS depth. Items called out in WHITEPAPER-CODEBASE-MAP.md as not yet wired include on-chain issuance from the API, parametric oracle payouts, and full carrier billing integration—these are partnership build scope, with SafeCover supplying the distribution orchestration skeleton.</w:t>
      </w:r>
    </w:p>
    <w:p>
      <w:pPr>
        <w:pStyle w:val="Heading1"/>
      </w:pPr>
      <w:r>
        <w:t>References (from your draft)</w:t>
      </w:r>
    </w:p>
    <w:p>
      <w:pPr>
        <w:spacing w:after="120"/>
      </w:pPr>
      <w:r>
        <w:t>BCG embedded insurance tech stack; industry surveys on checkout protection; case patterns (airline attach, marketplace warranty uplift); Etherisc / parametric microinsurance references—as cited in your original Word document. Use compliance-approved third-party materials where required.</w:t>
      </w:r>
    </w:p>
    <w:p>
      <w:pPr>
        <w:pStyle w:val="Heading1"/>
      </w:pPr>
      <w:r>
        <w:t>Regeneration</w:t>
      </w:r>
    </w:p>
    <w:p>
      <w:pPr>
        <w:spacing w:after="120"/>
      </w:pPr>
      <w:r>
        <w:t>HTML/PDF: python docs/partner/build_partner_pitch_html.py. Word: python docs/partner/build_partner_pitch_docx.py. Requires matplotlib and python-docx.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SafeCover — Insurance Partner Pitch</dc:title>
  <dc:subject>Business case, architecture, partnership path</dc:subject>
  <dc:creator>python-docx</dc:creator>
  <cp:keywords>SafeCover, embedded insurance, microinsurance, POS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