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3"/>
      </w:pPr>
      <w:r>
        <w:t xml:space="preserve">A Physics-Encoded Neural Operator with Conformal Trajectory Bands for Fast Transient Stability Screening</w:t>
      </w:r>
    </w:p>
    <w:p>
      <w:pPr>
        <w:pStyle w:val="Author"/>
        <w:jc w:val="center"/>
      </w:pPr>
      <w:r>
        <w:t>Zhenyu Liu</w:t>
      </w:r>
      <w:r>
        <w:rPr>
          <w:vertAlign w:val="superscript"/>
        </w:rPr>
        <w:footnoteReference w:id="1"/>
        <w:t> a,*</w:t>
      </w:r>
      <w:r>
        <w:t>, </w:t>
      </w:r>
      <w:r>
        <w:t>Jiale Wang</w:t>
      </w:r>
      <w:r>
        <w:rPr>
          <w:vertAlign w:val="superscript"/>
        </w:rPr>
        <w:t> a</w:t>
      </w:r>
      <w:r>
        <w:t>, </w:t>
      </w:r>
      <w:r>
        <w:t>Jiayong Liu</w:t>
      </w:r>
      <w:r>
        <w:rPr>
          <w:vertAlign w:val="superscript"/>
        </w:rPr>
        <w:t> a</w:t>
      </w:r>
      <w:r>
        <w:t>, </w:t>
      </w:r>
      <w:r>
        <w:t>Zhicheng Zeng</w:t>
      </w:r>
      <w:r>
        <w:rPr>
          <w:vertAlign w:val="superscript"/>
        </w:rPr>
        <w:t> a</w:t>
      </w:r>
    </w:p>
    <w:p>
      <w:pPr>
        <w:jc w:val="center"/>
      </w:pPr>
      <w:r>
        <w:t>a International Energy College, Jinan University, Guangzhou, 510632, China</w:t>
      </w:r>
    </w:p>
    <w:p>
      <w:r>
        <w:rPr>
          <w:b/>
        </w:rPr>
        <w:t>Abstract—</w:t>
      </w:r>
      <w:pPr>
        <w:pStyle w:val="Abstract"/>
      </w:pPr>
      <w:r>
        <w:t xml:space="preserve">Transient stability assessment (TSA) predicts whether a power system remains synchronized</w:t>
      </w:r>
      <w:r>
        <w:t xml:space="preserve"> </w:t>
      </w:r>
      <w:r>
        <w:t xml:space="preserve">after a large disturbance and estimates the critical clearing time (CCT) of faults. Time-domain</w:t>
      </w:r>
      <w:r>
        <w:t xml:space="preserve"> </w:t>
      </w:r>
      <w:r>
        <w:t xml:space="preserve">simulation (TDS) is accurate but slow, whereas machine-learning classifiers are fast but discard</w:t>
      </w:r>
      <w:r>
        <w:t xml:space="preserve"> </w:t>
      </w:r>
      <w:r>
        <w:t xml:space="preserve">the rotor-angle trajectory and provide no error bound. We introduce a physics-encoded neural</w:t>
      </w:r>
      <w:r>
        <w:t xml:space="preserve"> </w:t>
      </w:r>
      <w:r>
        <w:t xml:space="preserve">operator mapping a fault scenario to the full center-of-inertia rotor-angle trajectory, with a</w:t>
      </w:r>
      <w:r>
        <w:t xml:space="preserve"> </w:t>
      </w:r>
      <w:r>
        <w:t xml:space="preserve">distribution-free, finite-sample error band attached through split conformal prediction. The key</w:t>
      </w:r>
      <w:r>
        <w:t xml:space="preserve"> </w:t>
      </w:r>
      <w:r>
        <w:t xml:space="preserve">enabler is a physics-informed input encoding: a fault is represented by the vector of initial</w:t>
      </w:r>
      <w:r>
        <w:t xml:space="preserve"> </w:t>
      </w:r>
      <w:r>
        <w:t xml:space="preserve">accelerations it induces on each machine, computed from the swing equation rather than a bus</w:t>
      </w:r>
      <w:r>
        <w:t xml:space="preserve"> </w:t>
      </w:r>
      <w:r>
        <w:t xml:space="preserve">index, letting the operator generalize to unseen fault locations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/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topologies.</w:t>
      </w:r>
      <w:r>
        <w:t xml:space="preserve"> </w:t>
      </w:r>
      <w:r>
        <w:t xml:space="preserve">On the IEEE 39-bus system it classifies stability with 95.4% accuracy under a max-over-time</w:t>
      </w:r>
      <w:r>
        <w:t xml:space="preserve"> </w:t>
      </w:r>
      <m:oMath>
        <m:r>
          <m:t>π</m:t>
        </m:r>
      </m:oMath>
      <w:r>
        <w:t xml:space="preserve">-separation criterion, estimates the CCT to within 25.2 ms, and runs</w:t>
      </w:r>
      <w:r>
        <w:t xml:space="preserve"> </w:t>
      </w:r>
      <m:oMath>
        <m:r>
          <m:rPr>
            <m:sty m:val="p"/>
          </m:rPr>
          <m:t>≈</m:t>
        </m:r>
        <m:r>
          <m:t>214</m:t>
        </m:r>
        <m:r>
          <m:t>​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TDS on identical hardware. A directly calibrated pairwise</w:t>
      </w:r>
      <w:r>
        <w:t xml:space="preserve"> </w:t>
      </w:r>
      <w:r>
        <w:t xml:space="preserve">score bounds the machine-angle spread to 148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; the band is</w:t>
      </w:r>
      <w:r>
        <w:t xml:space="preserve"> </w:t>
      </w:r>
      <w:r>
        <w:t xml:space="preserve">coverage-valid, but the screening rule then resolves none of the scenarios, so the resolvable</w:t>
      </w:r>
      <w:r>
        <w:t xml:space="preserve"> </w:t>
      </w:r>
      <w:r>
        <w:t xml:space="preserve">fraction is reported across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with a TDS fallback—the conformal output is a calibrated</w:t>
      </w:r>
      <w:r>
        <w:t xml:space="preserve"> </w:t>
      </w:r>
      <w:r>
        <w:t xml:space="preserve">trajectory band, not a stability certificate. Retrained on the IEEE 118-bus system it reaches</w:t>
      </w:r>
      <w:r>
        <w:t xml:space="preserve"> </w:t>
      </w:r>
      <w:r>
        <w:t xml:space="preserve">92.9%</w:t>
      </w:r>
      <m:oMath>
        <m:r>
          <m:rPr>
            <m:sty m:val="p"/>
          </m:rPr>
          <m:t>%</m:t>
        </m:r>
      </m:oMath>
      <w:r>
        <w:t xml:space="preserve"> </w:t>
      </w:r>
      <w:r>
        <w:t xml:space="preserve">accuracy, and the encoding carries over unchanged to higher-fidelity generator</w:t>
      </w:r>
      <w:r>
        <w:t xml:space="preserve"> </w:t>
      </w:r>
      <w:r>
        <w:t xml:space="preserve">models. A physics-residual loss does not help, and generalization across operating points remains</w:t>
      </w:r>
      <w:r>
        <w:t xml:space="preserve"> </w:t>
      </w:r>
      <w:r>
        <w:t xml:space="preserve">open. To our knowledge, this is the first work coupling a trajectory-level operator with</w:t>
      </w:r>
      <w:r>
        <w:t xml:space="preserve"> </w:t>
      </w:r>
      <w:r>
        <w:t xml:space="preserve">conformal trajectory bands and CCT extraction in TSA.</w:t>
      </w:r>
    </w:p>
    <w:p>
      <w:pPr>
        <w:pStyle w:val="FirstParagraph"/>
      </w:pPr>
      <w:r>
        <w:rPr>
          <w:b/>
        </w:rPr>
        <w:t>Index Terms—</w:t>
      </w:r>
      <w:r>
        <w:t>conformal prediction, critical clearing time, neural operator, physics-informed machine learning, power system dynamics, transient stability.</w:t>
      </w:r>
    </w:p>
    <w:bookmarkStart w:id="26" w:name="introduction"/>
    <w:p>
      <w:pPr>
        <w:pStyle w:val="1"/>
      </w:pPr>
      <w:r>
        <w:t xml:space="preserve">Introduction</w:t>
      </w:r>
    </w:p>
    <w:p>
      <w:pPr>
        <w:pStyle w:val="FirstParagraph"/>
      </w:pPr>
      <w:r>
        <w:t xml:space="preserve">Transient stability is the ability of a power system to remain in synchronism</w:t>
      </w:r>
      <w:r>
        <w:t xml:space="preserve"> </w:t>
      </w:r>
      <w:r>
        <w:t xml:space="preserve">after a large disturbance such as a three-phase fault. Its assessment is a safety-critical,</w:t>
      </w:r>
      <w:r>
        <w:t xml:space="preserve"> </w:t>
      </w:r>
      <w:r>
        <w:t xml:space="preserve">recurring task: for a given contingency and fault clearing time, system operators must know</w:t>
      </w:r>
      <w:r>
        <w:t xml:space="preserve"> </w:t>
      </w:r>
      <w:r>
        <w:t xml:space="preserve">whether the system survives and, ideally, how much clearing-time margin remains before it loses</w:t>
      </w:r>
      <w:r>
        <w:t xml:space="preserve"> </w:t>
      </w:r>
      <w:r>
        <w:t xml:space="preserve">synchronism </w:t>
      </w:r>
      <w:r>
        <w:t xml:space="preserve">[1], [2]</w:t>
      </w:r>
      <w:r>
        <w:t xml:space="preserve">. The standard tool is time-domain</w:t>
      </w:r>
      <w:r>
        <w:t xml:space="preserve"> </w:t>
      </w:r>
      <w:r>
        <w:t xml:space="preserve">simulation (TDS), which integrates the nonlinear swing equations and is accurate but</w:t>
      </w:r>
      <w:r>
        <w:t xml:space="preserve"> </w:t>
      </w:r>
      <w:r>
        <w:t xml:space="preserve">computationally expensive, particularly when screening many fault locations, clearing times, and</w:t>
      </w:r>
      <w:r>
        <w:t xml:space="preserve"> </w:t>
      </w:r>
      <w:r>
        <w:t xml:space="preserve">topology changes 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This cost has motivated a large body of machine-learning surrogates for TSA: classifiers such as</w:t>
      </w:r>
      <w:r>
        <w:t xml:space="preserve"> </w:t>
      </w:r>
      <w:r>
        <w:t xml:space="preserve">support vector machines, decision trees, or deep networks </w:t>
      </w:r>
      <w:r>
        <w:t xml:space="preserve">[4]</w:t>
      </w:r>
      <w:r>
        <w:t xml:space="preserve"> </w:t>
      </w:r>
      <w:r>
        <w:t xml:space="preserve">that map</w:t>
      </w:r>
      <w:r>
        <w:t xml:space="preserve"> </w:t>
      </w:r>
      <w:r>
        <w:t xml:space="preserve">operating-condition or fault features to a binary stable/unstable label. Fast as they are, these</w:t>
      </w:r>
      <w:r>
        <w:t xml:space="preserve"> </w:t>
      </w:r>
      <w:r>
        <w:t xml:space="preserve">surrogates discard the rotor-angle trajectory (and thus any stability</w:t>
      </w:r>
      <w:r>
        <w:t xml:space="preserve"> </w:t>
      </w:r>
      <w:r>
        <w:rPr>
          <w:i/>
          <w:iCs/>
        </w:rPr>
        <w:t xml:space="preserve">margin</w:t>
      </w:r>
      <w:r>
        <w:t xml:space="preserve"> </w:t>
      </w:r>
      <w:r>
        <w:t xml:space="preserve">or CCT</w:t>
      </w:r>
      <w:r>
        <w:t xml:space="preserve"> </w:t>
      </w:r>
      <w:r>
        <w:t xml:space="preserve">estimate), do not generalize naturally across fault locations (a one-hot bus index yields no</w:t>
      </w:r>
      <w:r>
        <w:t xml:space="preserve"> </w:t>
      </w:r>
      <w:r>
        <w:t xml:space="preserve">signal for unseen buses), and output no uncertainty or error bound, so an operator cannot know</w:t>
      </w:r>
      <w:r>
        <w:t xml:space="preserve"> </w:t>
      </w:r>
      <w:r>
        <w:t xml:space="preserve">when the surrogate is trustworthy.</w:t>
      </w:r>
    </w:p>
    <w:p>
      <w:pPr>
        <w:pStyle w:val="BodyText"/>
      </w:pPr>
      <w:r>
        <w:t xml:space="preserve">We address all three limitations with a physics-encoded neural operator equipped with conformal</w:t>
      </w:r>
      <w:r>
        <w:t xml:space="preserve"> </w:t>
      </w:r>
      <w:r>
        <w:t xml:space="preserve">trajectory bands. The operator is a Deep Operator Network (DeepONet) </w:t>
      </w:r>
      <w:r>
        <w:t xml:space="preserve">[5]</w:t>
      </w:r>
      <w:r>
        <w:t xml:space="preserve">, whose</w:t>
      </w:r>
      <w:r>
        <w:t xml:space="preserve"> </w:t>
      </w:r>
      <w:r>
        <w:t xml:space="preserve">branch encodes a fault scenario and whose Fourier-feature trunk encodes time; their contraction</w:t>
      </w:r>
      <w:r>
        <w:t xml:space="preserve"> </w:t>
      </w:r>
      <w:r>
        <w:t xml:space="preserve">yields the full center-of-inertia (COI) rotor-angle trajectory rather than merely a label. The</w:t>
      </w:r>
      <w:r>
        <w:t xml:space="preserve"> </w:t>
      </w:r>
      <w:r>
        <w:t xml:space="preserve">fault scenario is encoded by a</w:t>
      </w:r>
      <w:r>
        <w:t xml:space="preserve"> </w:t>
      </w:r>
      <w:r>
        <w:rPr>
          <w:i/>
          <w:iCs/>
        </w:rPr>
        <w:t xml:space="preserve">physics-informed</w:t>
      </w:r>
      <w:r>
        <w:t xml:space="preserve"> </w:t>
      </w:r>
      <w:r>
        <w:t xml:space="preserve">vector: the initial acceleration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m</m:t>
            </m:r>
            <m:r>
              <m:t>i</m:t>
            </m:r>
          </m:sub>
        </m:sSub>
        <m:r>
          <m:rPr>
            <m:sty m:val="p"/>
          </m:rPr>
          <m:t>−</m:t>
        </m:r>
        <m:sSubSup>
          <m:e>
            <m:r>
              <m:t>P</m:t>
            </m:r>
          </m:e>
          <m:sub>
            <m:r>
              <m:t>e</m:t>
            </m:r>
            <m:r>
              <m:t>i</m:t>
            </m:r>
          </m:sub>
          <m:sup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that the fault induces on each machine, computed directly from</w:t>
      </w:r>
      <w:r>
        <w:t xml:space="preserve"> </w:t>
      </w:r>
      <w:r>
        <w:t xml:space="preserve">the swing equation, which allows the operator to generalize across unseen fault locations. Split</w:t>
      </w:r>
      <w:r>
        <w:t xml:space="preserve"> </w:t>
      </w:r>
      <w:r>
        <w:t xml:space="preserve">conformal prediction </w:t>
      </w:r>
      <w:r>
        <w:t xml:space="preserve">[6]</w:t>
      </w:r>
      <w:r>
        <w:t xml:space="preserve"> </w:t>
      </w:r>
      <w:r>
        <w:t xml:space="preserve">attaches a finite-sample, distribution-free error</w:t>
      </w:r>
      <w:r>
        <w:t xml:space="preserve"> </w:t>
      </w:r>
      <w:r>
        <w:t xml:space="preserve">band to every predicted trajectory, together with a tighter score that directly bounds the</w:t>
      </w:r>
      <w:r>
        <w:t xml:space="preserve"> </w:t>
      </w:r>
      <w:r>
        <w:t xml:space="preserve">pairwise angle difference entering the stability criterion. Throughout,</w:t>
      </w:r>
      <w:r>
        <w:t xml:space="preserve"> </w:t>
      </w:r>
      <w:r>
        <w:t xml:space="preserve">“physics-informed”</w:t>
      </w:r>
      <w:r>
        <w:t xml:space="preserve"> </w:t>
      </w:r>
      <w:r>
        <w:t xml:space="preserve">refers to the input encoding derived from the swing equation, not to a residual-constrained model,</w:t>
      </w:r>
      <w:r>
        <w:t xml:space="preserve"> </w:t>
      </w:r>
      <w:r>
        <w:t xml:space="preserve">and the conformal output is a calibrated trajectory band, not a stability certificate.</w:t>
      </w:r>
    </w:p>
    <w:p>
      <w:pPr>
        <w:pStyle w:val="BodyText"/>
      </w:pPr>
      <w:r>
        <w:t xml:space="preserve">Our contributions are as follows.</w:t>
      </w:r>
    </w:p>
    <w:p>
      <w:pPr>
        <w:numPr>
          <w:ilvl w:val="0"/>
          <w:numId w:val="1001"/>
        </w:numPr>
      </w:pPr>
      <w:r>
        <w:t xml:space="preserve">We couple, to our knowledge for the first time, a trajectory-level neural operator with</w:t>
      </w:r>
      <w:r>
        <w:t xml:space="preserve"> </w:t>
      </w:r>
      <w:r>
        <w:t xml:space="preserve">conformal trajectory bands for</w:t>
      </w:r>
      <w:r>
        <w:t xml:space="preserve"> </w:t>
      </w:r>
      <w:r>
        <w:rPr>
          <w:i/>
          <w:iCs/>
        </w:rPr>
        <w:t xml:space="preserve">rotor-angle</w:t>
      </w:r>
      <w:r>
        <w:t xml:space="preserve"> </w:t>
      </w:r>
      <w:r>
        <w:t xml:space="preserve">trajectories and with CCT extraction. Prior</w:t>
      </w:r>
      <w:r>
        <w:t xml:space="preserve"> </w:t>
      </w:r>
      <w:r>
        <w:t xml:space="preserve">neural operators for power systems target component-level dynamics </w:t>
      </w:r>
      <w:r>
        <w:t xml:space="preserve">[7]</w:t>
      </w:r>
      <w:r>
        <w:t xml:space="preserve">;</w:t>
      </w:r>
      <w:r>
        <w:t xml:space="preserve"> </w:t>
      </w:r>
      <w:r>
        <w:t xml:space="preserve">conformalized operator regression has appeared for post-fault bus-voltage</w:t>
      </w:r>
      <w:r>
        <w:t xml:space="preserve"> </w:t>
      </w:r>
      <w:r>
        <w:t xml:space="preserve">trajectories </w:t>
      </w:r>
      <w:r>
        <w:t xml:space="preserve">[8]</w:t>
      </w:r>
      <w:r>
        <w:t xml:space="preserve">, targeting voltage rather than rotor-angle stability</w:t>
      </w:r>
      <w:r>
        <w:t xml:space="preserve"> </w:t>
      </w:r>
      <w:r>
        <w:t xml:space="preserve">and without CCT extraction; and prior conformal work on TSA predicts only a binary stability</w:t>
      </w:r>
      <w:r>
        <w:t xml:space="preserve"> </w:t>
      </w:r>
      <w:r>
        <w:t xml:space="preserve">label </w:t>
      </w:r>
      <w:r>
        <w:t xml:space="preserve">[9]</w:t>
      </w:r>
      <w:r>
        <w:t xml:space="preserve">. Section </w:t>
      </w:r>
      <w:hyperlink w:anchor="sec:related">
        <w:r>
          <w:rPr>
            <w:rStyle w:val="ab"/>
          </w:rPr>
          <w:t xml:space="preserve">2</w:t>
        </w:r>
      </w:hyperlink>
      <w:r>
        <w:t xml:space="preserve"> </w:t>
      </w:r>
      <w:r>
        <w:t xml:space="preserve">positions these works relative to</w:t>
      </w:r>
      <w:r>
        <w:t xml:space="preserve"> </w:t>
      </w:r>
      <w:r>
        <w:t xml:space="preserve">ours, and the</w:t>
      </w:r>
      <w:r>
        <w:t xml:space="preserve"> </w:t>
      </w:r>
      <w:r>
        <w:t xml:space="preserve">“first”</w:t>
      </w:r>
      <w:r>
        <w:t xml:space="preserve"> </w:t>
      </w:r>
      <w:r>
        <w:t xml:space="preserve">claim is scoped to rotor-angle trajectory bands with CCT extraction.</w:t>
      </w:r>
    </w:p>
    <w:p>
      <w:pPr>
        <w:numPr>
          <w:ilvl w:val="0"/>
          <w:numId w:val="1001"/>
        </w:numPr>
      </w:pPr>
      <w:r>
        <w:t xml:space="preserve">We show that a physics-informed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encoding—the swing-equation acceleration</w:t>
      </w:r>
      <w:r>
        <w:t xml:space="preserve"> </w:t>
      </w:r>
      <w:r>
        <w:t xml:space="preserve">vector—is what enables generalization across unseen fault locations, and we quantify the</w:t>
      </w:r>
      <w:r>
        <w:t xml:space="preserve"> </w:t>
      </w:r>
      <w:r>
        <w:t xml:space="preserve">difference against a one-hot encoding and against graph baselines using raw observables.</w:t>
      </w:r>
    </w:p>
    <w:p>
      <w:pPr>
        <w:numPr>
          <w:ilvl w:val="0"/>
          <w:numId w:val="1001"/>
        </w:numPr>
      </w:pPr>
      <w:r>
        <w:t xml:space="preserve">We provide a split-conformal calibration layer that yields a finite-sample,</w:t>
      </w:r>
      <w:r>
        <w:t xml:space="preserve"> </w:t>
      </w:r>
      <w:r>
        <w:t xml:space="preserve">distribution-free error band on the trajectory and a directly calibrated pairwise-angle bound</w:t>
      </w:r>
      <w:r>
        <w:t xml:space="preserve"> </w:t>
      </w:r>
      <w:r>
        <w:t xml:space="preserve">below the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threshold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 together with the resolvable fraction, the</w:t>
      </w:r>
      <w:r>
        <w:t xml:space="preserve"> </w:t>
      </w:r>
      <w:r>
        <w:t xml:space="preserve">wrong-release rate, and a CCT estimate compared against classical direct criteria; the derived</w:t>
      </w:r>
      <w:r>
        <w:t xml:space="preserve"> </w:t>
      </w:r>
      <w:r>
        <w:t xml:space="preserve">CCT band is a heuristic interval without a formal guarantee (Section </w:t>
      </w:r>
      <w:hyperlink w:anchor="sec:method">
        <w:r>
          <w:rPr>
            <w:rStyle w:val="ab"/>
          </w:rPr>
          <w:t xml:space="preserve">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We extend the encoding with a post-fault severity vector and show that a single operator</w:t>
      </w:r>
      <w:r>
        <w:t xml:space="preserve"> </w:t>
      </w:r>
      <w:r>
        <w:t xml:space="preserve">generalizes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line-trip topologies not seen in training.</w:t>
      </w:r>
    </w:p>
    <w:p>
      <w:pPr>
        <w:numPr>
          <w:ilvl w:val="0"/>
          <w:numId w:val="1001"/>
        </w:numPr>
      </w:pPr>
      <w:r>
        <w:t xml:space="preserve">We report trajectory accuracy together with an ablation of an auxiliary physics-residual</w:t>
      </w:r>
      <w:r>
        <w:t xml:space="preserve"> </w:t>
      </w:r>
      <w:r>
        <w:t xml:space="preserve">loss, including a negative result for this system and protocol: physics is injected more reliably</w:t>
      </w:r>
      <w:r>
        <w:t xml:space="preserve"> </w:t>
      </w:r>
      <w:r>
        <w:t xml:space="preserve">through the input encoding than through a residual loss.</w:t>
      </w:r>
    </w:p>
    <w:bookmarkEnd w:id="26"/>
    <w:bookmarkStart w:id="29" w:name="sec:related"/>
    <w:p>
      <w:pPr>
        <w:pStyle w:val="1"/>
      </w:pPr>
      <w:r>
        <w:t xml:space="preserve">Related Work</w:t>
      </w:r>
    </w:p>
    <w:bookmarkStart w:id="27" w:name="X97c61f1967f6bfba266d276465912dcf161f374"/>
    <w:p>
      <w:pPr>
        <w:pStyle w:val="2"/>
      </w:pPr>
      <w:r>
        <w:t xml:space="preserve">Neural operators and physics-informed learning in power systems</w:t>
      </w:r>
    </w:p>
    <w:p>
      <w:pPr>
        <w:pStyle w:val="FirstParagraph"/>
      </w:pPr>
      <w:r>
        <w:t xml:space="preserve">Neural operators learn maps between function spaces rather than between fixed-size vectors; the</w:t>
      </w:r>
      <w:r>
        <w:t xml:space="preserve"> </w:t>
      </w:r>
      <w:r>
        <w:t xml:space="preserve">dominant architectures are DeepONet </w:t>
      </w:r>
      <w:r>
        <w:t xml:space="preserve">[5]</w:t>
      </w:r>
      <w:r>
        <w:t xml:space="preserve"> </w:t>
      </w:r>
      <w:r>
        <w:t xml:space="preserve">(branch–trunk contraction) and the</w:t>
      </w:r>
      <w:r>
        <w:t xml:space="preserve"> </w:t>
      </w:r>
      <w:r>
        <w:t xml:space="preserve">Fourier Neural Operator </w:t>
      </w:r>
      <w:r>
        <w:t xml:space="preserve">[10]</w:t>
      </w:r>
      <w:r>
        <w:t xml:space="preserve">. Physics-informed neural networks</w:t>
      </w:r>
      <w:r>
        <w:t xml:space="preserve"> </w:t>
      </w:r>
      <w:r>
        <w:t xml:space="preserve">(PINNs) </w:t>
      </w:r>
      <w:r>
        <w:t xml:space="preserve">[11]</w:t>
      </w:r>
      <w:r>
        <w:t xml:space="preserve"> </w:t>
      </w:r>
      <w:r>
        <w:t xml:space="preserve">embed governing-equation residuals into the training loss.</w:t>
      </w:r>
    </w:p>
    <w:p>
      <w:pPr>
        <w:pStyle w:val="BodyText"/>
      </w:pPr>
      <w:r>
        <w:t xml:space="preserve">Recent work has begun applying these tools to power systems. Karampinis et</w:t>
      </w:r>
      <w:r>
        <w:t xml:space="preserve"> </w:t>
      </w:r>
      <w:r>
        <w:t xml:space="preserve">al. </w:t>
      </w:r>
      <w:r>
        <w:t xml:space="preserve">[7]</w:t>
      </w:r>
      <w:r>
        <w:t xml:space="preserve"> </w:t>
      </w:r>
      <w:r>
        <w:t xml:space="preserve">propose a DeepONet-based framework for modeling power-system</w:t>
      </w:r>
      <w:r>
        <w:t xml:space="preserve"> </w:t>
      </w:r>
      <w:r>
        <w:rPr>
          <w:i/>
          <w:iCs/>
        </w:rPr>
        <w:t xml:space="preserve">components</w:t>
      </w:r>
      <w:r>
        <w:t xml:space="preserve">, targeting fast dynamic simulation and digital twins, but do not address TSA,</w:t>
      </w:r>
      <w:r>
        <w:t xml:space="preserve"> </w:t>
      </w:r>
      <w:r>
        <w:t xml:space="preserve">the CCT, or uncertainty quantification. Moya et al. </w:t>
      </w:r>
      <w:r>
        <w:t xml:space="preserve">[12]</w:t>
      </w:r>
      <w:r>
        <w:t xml:space="preserve"> </w:t>
      </w:r>
      <w:r>
        <w:t xml:space="preserve">attach</w:t>
      </w:r>
      <w:r>
        <w:t xml:space="preserve"> </w:t>
      </w:r>
      <w:r>
        <w:t xml:space="preserve">split-conformal intervals to DeepONets (Conformalized-DeepONet) for operator regression on</w:t>
      </w:r>
      <w:r>
        <w:t xml:space="preserve"> </w:t>
      </w:r>
      <w:r>
        <w:t xml:space="preserve">canonical dynamical systems, and physics-informed graphical surrogates have been applied to power</w:t>
      </w:r>
      <w:r>
        <w:t xml:space="preserve"> </w:t>
      </w:r>
      <w:r>
        <w:t xml:space="preserve">flow and optimal power flow </w:t>
      </w:r>
      <w:r>
        <w:t xml:space="preserve">[13], [14]</w:t>
      </w:r>
      <w:r>
        <w:t xml:space="preserve">. Our work instead targets the</w:t>
      </w:r>
      <w:r>
        <w:t xml:space="preserve"> </w:t>
      </w:r>
      <w:r>
        <w:t xml:space="preserve">post-fault rotor-angle trajectory operator and couples it with conformal certification.</w:t>
      </w:r>
    </w:p>
    <w:bookmarkEnd w:id="27"/>
    <w:bookmarkStart w:id="28" w:name="X9d7c67e382ccff80906dca0918b5be122326772"/>
    <w:p>
      <w:pPr>
        <w:pStyle w:val="2"/>
      </w:pPr>
      <w:r>
        <w:t xml:space="preserve">Learning-based transient stability assessment</w:t>
      </w:r>
    </w:p>
    <w:p>
      <w:pPr>
        <w:pStyle w:val="FirstParagraph"/>
      </w:pPr>
      <w:r>
        <w:t xml:space="preserve">Learning-based TSA has long been dominated by classifiers that predict a stable/unstable label</w:t>
      </w:r>
      <w:r>
        <w:t xml:space="preserve"> </w:t>
      </w:r>
      <w:r>
        <w:t xml:space="preserve">from hand-crafted features </w:t>
      </w:r>
      <w:r>
        <w:t xml:space="preserve">[4]</w:t>
      </w:r>
      <w:r>
        <w:t xml:space="preserve">; more recent graph models with</w:t>
      </w:r>
      <w:r>
        <w:t xml:space="preserve"> </w:t>
      </w:r>
      <w:r>
        <w:t xml:space="preserve">distribution-aware pooling </w:t>
      </w:r>
      <w:r>
        <w:t xml:space="preserve">[15]</w:t>
      </w:r>
      <w:r>
        <w:t xml:space="preserve"> </w:t>
      </w:r>
      <w:r>
        <w:t xml:space="preserve">report high accuracies on the IEEE 39-bus</w:t>
      </w:r>
      <w:r>
        <w:t xml:space="preserve"> </w:t>
      </w:r>
      <w:r>
        <w:t xml:space="preserve">system under in-sample or per-sample protocols. Under our held-out-bus protocol with the same raw</w:t>
      </w:r>
      <w:r>
        <w:t xml:space="preserve"> </w:t>
      </w:r>
      <w:r>
        <w:t xml:space="preserve">features, however, a standard graph convolutional classifier reaches only</w:t>
      </w:r>
      <w:r>
        <w:t xml:space="preserve"> </w:t>
      </w:r>
      <m:oMath>
        <m:r>
          <m:t>76.0</m:t>
        </m:r>
        <m:r>
          <m:rPr>
            <m:sty m:val="p"/>
          </m:rPr>
          <m:t>%</m:t>
        </m:r>
      </m:oMath>
      <w:r>
        <w:t xml:space="preserve"> </w:t>
      </w:r>
      <w:r>
        <w:t xml:space="preserve">and a stronger</w:t>
      </w:r>
      <w:r>
        <w:t xml:space="preserve"> </w:t>
      </w:r>
      <w:r>
        <w:t xml:space="preserve">residual graph model</w:t>
      </w:r>
      <w:r>
        <w:t xml:space="preserve"> </w:t>
      </w:r>
      <m:oMath>
        <m:r>
          <m:t>77.3</m:t>
        </m:r>
        <m:r>
          <m:rPr>
            <m:sty m:val="p"/>
          </m:rPr>
          <m:t>%</m:t>
        </m:r>
      </m:oMath>
      <w:r>
        <w:t xml:space="preserve"> </w:t>
      </w:r>
      <w:r>
        <w:t xml:space="preserve">(Section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), and graph models produce no</w:t>
      </w:r>
      <w:r>
        <w:t xml:space="preserve"> </w:t>
      </w:r>
      <w:r>
        <w:t xml:space="preserve">trajectory, CCT, or uncertainty bound.</w:t>
      </w:r>
    </w:p>
    <w:p>
      <w:pPr>
        <w:pStyle w:val="BodyText"/>
      </w:pPr>
      <w:r>
        <w:t xml:space="preserve">A few works predict the post-fault trajectory rather than only the label; these are closest in</w:t>
      </w:r>
      <w:r>
        <w:t xml:space="preserve"> </w:t>
      </w:r>
      <w:r>
        <w:t xml:space="preserve">spirit to ours, but they provide no error bounds. Event-structured PINNs model the pre-fault,</w:t>
      </w:r>
      <w:r>
        <w:t xml:space="preserve"> </w:t>
      </w:r>
      <w:r>
        <w:t xml:space="preserve">fault-on, and post-fault stages with hard state chaining and a differentiable CCT</w:t>
      </w:r>
      <w:r>
        <w:t xml:space="preserve"> </w:t>
      </w:r>
      <w:r>
        <w:t xml:space="preserve">boundary </w:t>
      </w:r>
      <w:r>
        <w:t xml:space="preserve">[16]</w:t>
      </w:r>
      <w:r>
        <w:t xml:space="preserve">; their error-propagation theorem is complementary to our</w:t>
      </w:r>
      <w:r>
        <w:t xml:space="preserve"> </w:t>
      </w:r>
      <w:r>
        <w:t xml:space="preserve">finite-sample conformal band. PINN-based acceleration of time-domain simulation</w:t>
      </w:r>
      <w:r>
        <w:t xml:space="preserve"> </w:t>
      </w:r>
      <w:r>
        <w:t xml:space="preserve">[17]</w:t>
      </w:r>
      <w:r>
        <w:t xml:space="preserve"> </w:t>
      </w:r>
      <w:r>
        <w:t xml:space="preserve">trains a network with physics residuals, whereas we learn the</w:t>
      </w:r>
      <w:r>
        <w:t xml:space="preserve"> </w:t>
      </w:r>
      <w:r>
        <w:t xml:space="preserve">scenario-to-trajectory map with a physics-informed input encoding; fast CCT calculation for</w:t>
      </w:r>
      <w:r>
        <w:t xml:space="preserve"> </w:t>
      </w:r>
      <w:r>
        <w:t xml:space="preserve">mixed synchronous/asynchronous generation </w:t>
      </w:r>
      <w:r>
        <w:t xml:space="preserve">[18]</w:t>
      </w:r>
      <w:r>
        <w:t xml:space="preserve"> </w:t>
      </w:r>
      <w:r>
        <w:t xml:space="preserve">is complementary to our TDS-based</w:t>
      </w:r>
      <w:r>
        <w:t xml:space="preserve"> </w:t>
      </w:r>
      <w:r>
        <w:t xml:space="preserve">reference.</w:t>
      </w:r>
    </w:p>
    <w:p>
      <w:pPr>
        <w:pStyle w:val="BodyText"/>
      </w:pPr>
      <w:r>
        <w:t xml:space="preserve">Confidence-aware TSA has begun to emerge. Lu et al. </w:t>
      </w:r>
      <w:r>
        <w:t xml:space="preserve">[9]</w:t>
      </w:r>
      <w:r>
        <w:t xml:space="preserve"> </w:t>
      </w:r>
      <w:r>
        <w:t xml:space="preserve">combine a large</w:t>
      </w:r>
      <w:r>
        <w:t xml:space="preserve"> </w:t>
      </w:r>
      <w:r>
        <w:t xml:space="preserve">language model with conformal prediction to produce prediction sets for a binary stability label,</w:t>
      </w:r>
      <w:r>
        <w:t xml:space="preserve"> </w:t>
      </w:r>
      <w:r>
        <w:t xml:space="preserve">but they predict neither the trajectory nor the CCT and do not use a physics-informed operator.</w:t>
      </w:r>
      <w:r>
        <w:t xml:space="preserve"> </w:t>
      </w:r>
      <w:r>
        <w:t xml:space="preserve">The closest works to ours are the conformalized operator regression of Mollaali et</w:t>
      </w:r>
      <w:r>
        <w:t xml:space="preserve"> </w:t>
      </w:r>
      <w:r>
        <w:t xml:space="preserve">al. </w:t>
      </w:r>
      <w:r>
        <w:t xml:space="preserve">[8]</w:t>
      </w:r>
      <w:r>
        <w:t xml:space="preserve">, which predicts post-fault</w:t>
      </w:r>
      <w:r>
        <w:t xml:space="preserve"> </w:t>
      </w:r>
      <w:r>
        <w:rPr>
          <w:i/>
          <w:iCs/>
        </w:rPr>
        <w:t xml:space="preserve">bus-voltage</w:t>
      </w:r>
      <w:r>
        <w:t xml:space="preserve"> </w:t>
      </w:r>
      <w:r>
        <w:t xml:space="preserve">trajectories</w:t>
      </w:r>
      <w:r>
        <w:t xml:space="preserve"> </w:t>
      </w:r>
      <w:r>
        <w:t xml:space="preserve">without rotor angles, CCT extraction, or topology generalization, and the Conformalized-DeepONet</w:t>
      </w:r>
      <w:r>
        <w:t xml:space="preserve"> </w:t>
      </w:r>
      <w:r>
        <w:t xml:space="preserve">framework of Moya et al. </w:t>
      </w:r>
      <w:r>
        <w:t xml:space="preserve">[12]</w:t>
      </w:r>
      <w:r>
        <w:t xml:space="preserve">, which establishes operator-regression bands on</w:t>
      </w:r>
      <w:r>
        <w:t xml:space="preserve"> </w:t>
      </w:r>
      <w:r>
        <w:t xml:space="preserve">canonical dynamical systems. Probabilistic and Bayesian operator frameworks</w:t>
      </w:r>
      <w:r>
        <w:t xml:space="preserve"> </w:t>
      </w:r>
      <w:r>
        <w:t xml:space="preserve">(DeepONet-grid-UQ) </w:t>
      </w:r>
      <w:r>
        <w:t xml:space="preserve">[19]</w:t>
      </w:r>
      <w:r>
        <w:t xml:space="preserve"> </w:t>
      </w:r>
      <w:r>
        <w:t xml:space="preserve">assume Gaussian or posterior-sampling uncertainty,</w:t>
      </w:r>
      <w:r>
        <w:t xml:space="preserve"> </w:t>
      </w:r>
      <w:r>
        <w:t xml:space="preserve">and risk-controlling quantile operators (UQNO) </w:t>
      </w:r>
      <w:r>
        <w:t xml:space="preserve">[20]</w:t>
      </w:r>
      <w:r>
        <w:t xml:space="preserve"> </w:t>
      </w:r>
      <w:r>
        <w:t xml:space="preserve">learn a second operator</w:t>
      </w:r>
      <w:r>
        <w:t xml:space="preserve"> </w:t>
      </w:r>
      <w:r>
        <w:t xml:space="preserve">for pointwise radii; our split-conformal bands are distribution-free and require only a</w:t>
      </w:r>
      <w:r>
        <w:t xml:space="preserve"> </w:t>
      </w:r>
      <w:r>
        <w:t xml:space="preserve">calibration set on top of the trained operator.</w:t>
      </w:r>
    </w:p>
    <w:p>
      <w:pPr>
        <w:pStyle w:val="BodyText"/>
      </w:pPr>
      <w:r>
        <w:t xml:space="preserve">Across the axes that matter for TSA—physics-derived input encoding, unseen fault-bus and</w:t>
      </w:r>
      <w:r>
        <w:t xml:space="preserve"> </w:t>
      </w:r>
      <w:r>
        <w:t xml:space="preserve">topology generalization, the calibration unit, and CCT extraction—no single prior work combines</w:t>
      </w:r>
      <w:r>
        <w:t xml:space="preserve"> </w:t>
      </w:r>
      <w:r>
        <w:t xml:space="preserve">a physics encoding that generalizes across fault locations and topologies, a directly calibrated</w:t>
      </w:r>
      <w:r>
        <w:t xml:space="preserve"> </w:t>
      </w:r>
      <w:r>
        <w:t xml:space="preserve">bound on the pairwise spread entering the stability criterion, and CCT extraction.</w:t>
      </w:r>
    </w:p>
    <w:p>
      <w:pPr>
        <w:pStyle w:val="BodyText"/>
      </w:pPr>
      <w:r>
        <w:t xml:space="preserve">Classical direct methods remain strong CCT baselines: the transient-energy-function (TEF/PEBS)</w:t>
      </w:r>
      <w:r>
        <w:t xml:space="preserve"> </w:t>
      </w:r>
      <w:r>
        <w:t xml:space="preserve">method </w:t>
      </w:r>
      <w:r>
        <w:t xml:space="preserve">[21]</w:t>
      </w:r>
      <w:r>
        <w:t xml:space="preserve"> </w:t>
      </w:r>
      <w:r>
        <w:t xml:space="preserve">and the individual-machine equal-area criterion</w:t>
      </w:r>
      <w:r>
        <w:t xml:space="preserve"> </w:t>
      </w:r>
      <w:r>
        <w:t xml:space="preserve">(IMEAC) </w:t>
      </w:r>
      <w:r>
        <w:t xml:space="preserve">[22]</w:t>
      </w:r>
      <w:r>
        <w:t xml:space="preserve"> </w:t>
      </w:r>
      <w:r>
        <w:t xml:space="preserve">extract the CCT from machine-level energy criteria</w:t>
      </w:r>
      <w:r>
        <w:t xml:space="preserve"> </w:t>
      </w:r>
      <w:r>
        <w:t xml:space="preserve">(Section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). Our contribution is the combination of a trajectory-level neural</w:t>
      </w:r>
      <w:r>
        <w:t xml:space="preserve"> </w:t>
      </w:r>
      <w:r>
        <w:t xml:space="preserve">operator with a physics-informed fault encoding and a conformal error band, which yields a CCT</w:t>
      </w:r>
      <w:r>
        <w:t xml:space="preserve"> </w:t>
      </w:r>
      <w:r>
        <w:t xml:space="preserve">estimate alongside the trajectory; the derived CCT band is heuristic and carries no formal</w:t>
      </w:r>
      <w:r>
        <w:t xml:space="preserve"> </w:t>
      </w:r>
      <w:r>
        <w:t xml:space="preserve">coverage guarantee (Section </w:t>
      </w:r>
      <w:hyperlink w:anchor="sec:method">
        <w:r>
          <w:rPr>
            <w:rStyle w:val="ab"/>
          </w:rPr>
          <w:t xml:space="preserve">4</w:t>
        </w:r>
      </w:hyperlink>
      <w:r>
        <w:t xml:space="preserve">).</w:t>
      </w:r>
    </w:p>
    <w:bookmarkEnd w:id="28"/>
    <w:bookmarkEnd w:id="29"/>
    <w:bookmarkStart w:id="32" w:name="sec:problem"/>
    <w:p>
      <w:pPr>
        <w:pStyle w:val="1"/>
      </w:pPr>
      <w:r>
        <w:t xml:space="preserve">Problem Formulation</w:t>
      </w:r>
    </w:p>
    <w:bookmarkStart w:id="30" w:name="classical-multi-machine-model"/>
    <w:p>
      <w:pPr>
        <w:pStyle w:val="2"/>
      </w:pPr>
      <w:r>
        <w:t xml:space="preserve">Classical multi-machine model</w:t>
      </w:r>
    </w:p>
    <w:p>
      <w:pPr>
        <w:pStyle w:val="FirstParagraph"/>
      </w:pPr>
      <w:r>
        <w:t xml:space="preserve">We consider the classical model of transient stability, in which each synchronous generator is</w:t>
      </w:r>
      <w:r>
        <w:t xml:space="preserve"> </w:t>
      </w:r>
      <w:r>
        <w:t xml:space="preserve">represented as a constant voltage source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behind a transient reactance</w:t>
      </w:r>
      <w:r>
        <w:t xml:space="preserve"> </w:t>
      </w:r>
      <m:oMath>
        <m:sSubSup>
          <m:e>
            <m:r>
              <m:t>x</m:t>
            </m:r>
          </m:e>
          <m:sub>
            <m:r>
              <m:t>d</m:t>
            </m:r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 </w:t>
      </w:r>
      <w:r>
        <w:t xml:space="preserve">[1], [2]</w:t>
      </w:r>
      <w:r>
        <w:t xml:space="preserve">. Under the standard reduction, loads are</w:t>
      </w:r>
      <w:r>
        <w:t xml:space="preserve"> </w:t>
      </w:r>
      <w:r>
        <w:t xml:space="preserve">converted to constant admittances and the network is Kron-reduced to the internal generator</w:t>
      </w:r>
      <w:r>
        <w:t xml:space="preserve"> </w:t>
      </w:r>
      <w:r>
        <w:t xml:space="preserve">nodes, yielding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admittance matrix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. The dynamics of generator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 the</w:t>
      </w:r>
      <w:r>
        <w:t xml:space="preserve"> </w:t>
      </w:r>
      <w:r>
        <w:t xml:space="preserve">swing equations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m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e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rotor angle,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per-unit speed,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inertia constant,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damping coefficient,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i</m:t>
            </m:r>
          </m:sub>
        </m:sSub>
      </m:oMath>
      <w:r>
        <w:t xml:space="preserve"> </w:t>
      </w:r>
      <w:r>
        <w:t xml:space="preserve">the mechanical power, and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the synchronous</w:t>
      </w:r>
      <w:r>
        <w:t xml:space="preserve"> </w:t>
      </w:r>
      <w:r>
        <w:t xml:space="preserve">speed. The electrical power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E</m:t>
              </m:r>
            </m:e>
            <m:sub>
              <m:r>
                <m:t>j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ℜ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ℑ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. We use the undamped case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</w:t>
      </w:r>
      <w:r>
        <w:t xml:space="preserve"> </w:t>
      </w:r>
      <w:r>
        <w:t xml:space="preserve">is standard for the classical model and gives the undamped (energy-margin) stability boundary; a</w:t>
      </w:r>
      <w:r>
        <w:t xml:space="preserve"> </w:t>
      </w:r>
      <w:r>
        <w:t xml:space="preserve">damped variant is examined in 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. Because the</w:t>
      </w:r>
      <w:r>
        <w:t xml:space="preserve"> </w:t>
      </w:r>
      <w:r>
        <w:t xml:space="preserve">equations depend only on angle differences, it is convenient to work in the center-of-inertia</w:t>
      </w:r>
      <w:r>
        <w:t xml:space="preserve"> </w:t>
      </w:r>
      <w:r>
        <w:t xml:space="preserve">(COI) frame, defining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three-phase fault at a bus is modeled by adding a large shunt admittance to that bus and</w:t>
      </w:r>
      <w:r>
        <w:t xml:space="preserve"> </w:t>
      </w:r>
      <w:r>
        <w:t xml:space="preserve">reducing the network during the fault; the fault is cleared after a clearing time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optionally tripping a line (an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contingency). Reference trajectories integrate</w:t>
      </w:r>
      <w:r>
        <w:t xml:space="preserve"> </w:t>
      </w:r>
      <w:hyperlink w:anchor="eq:swing1">
        <w:r>
          <w:rPr>
            <w:rStyle w:val="ab"/>
          </w:rPr>
          <w:t xml:space="preserve">[eq:swing1]</w:t>
        </w:r>
      </w:hyperlink>
      <w:r>
        <w:t xml:space="preserve">–</w:t>
      </w:r>
      <w:hyperlink w:anchor="eq:swing2">
        <w:r>
          <w:rPr>
            <w:rStyle w:val="ab"/>
          </w:rPr>
          <w:t xml:space="preserve">[eq:swing2]</w:t>
        </w:r>
      </w:hyperlink>
      <w:r>
        <w:t xml:space="preserve"> </w:t>
      </w:r>
      <w:r>
        <w:t xml:space="preserve">with a fourth-order Runge–Kutta scheme at a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ms step,</w:t>
      </w:r>
      <w:r>
        <w:t xml:space="preserve"> </w:t>
      </w:r>
      <w:r>
        <w:t xml:space="preserve">splitting each step at the clearing instant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so the fault-on network is used exactly until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(event alignment); the state is recorded on a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s output grid. A trajectory is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if the maximum pairwise angle difference remains below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at every output-grid</w:t>
      </w:r>
      <w:r>
        <w:t xml:space="preserve"> </w:t>
      </w:r>
      <w:r>
        <w:t xml:space="preserve">point over the simulation horizon—the</w:t>
      </w:r>
      <w:r>
        <w:t xml:space="preserve"> </w:t>
      </w:r>
      <m:oMath>
        <m:r>
          <m:t>π</m:t>
        </m:r>
      </m:oMath>
      <w:r>
        <w:t xml:space="preserve">-separation criterion, the operational label used</w:t>
      </w:r>
      <w:r>
        <w:t xml:space="preserve"> </w:t>
      </w:r>
      <w:r>
        <w:t xml:space="preserve">throughout the paper. It applies to the selected model, horizon, and criterion and is not claimed</w:t>
      </w:r>
      <w:r>
        <w:t xml:space="preserve"> </w:t>
      </w:r>
      <w:r>
        <w:t xml:space="preserve">to coincide with infinite-horizon synchronism for arbitrary systems</w:t>
      </w:r>
      <w:r>
        <w:t xml:space="preserve"> </w:t>
      </w:r>
      <w:r>
        <w:t xml:space="preserve">(Section </w:t>
      </w:r>
      <w:hyperlink w:anchor="sec:discussion">
        <w:r>
          <w:rPr>
            <w:rStyle w:val="ab"/>
          </w:rPr>
          <w:t xml:space="preserve">7</w:t>
        </w:r>
      </w:hyperlink>
      <w:r>
        <w:t xml:space="preserve">).</w:t>
      </w:r>
    </w:p>
    <w:bookmarkEnd w:id="30"/>
    <w:bookmarkStart w:id="31" w:name="problem-statement"/>
    <w:p>
      <w:pPr>
        <w:pStyle w:val="2"/>
      </w:pPr>
      <w:r>
        <w:t xml:space="preserve">Problem statement</w:t>
      </w:r>
    </w:p>
    <w:p>
      <w:pPr>
        <w:pStyle w:val="FirstParagraph"/>
      </w:pPr>
      <w:r>
        <w:t xml:space="preserve">Let a fault scenario be described by a fault location (bus), an optional set of tripped lines, and</w:t>
      </w:r>
      <w:r>
        <w:t xml:space="preserve"> </w:t>
      </w:r>
      <w:r>
        <w:t xml:space="preserve">a clearing time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. We seek the map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rPr>
            <m:nor/>
            <m:sty m:val="p"/>
          </m:rPr>
          <m:t>scenario</m:t>
        </m:r>
        <m:r>
          <m:rPr>
            <m:sty m:val="p"/>
          </m:rPr>
          <m:t>)</m:t>
        </m:r>
        <m:r>
          <m:rPr>
            <m:sty m:val="p"/>
          </m:rPr>
          <m:t>↦</m:t>
        </m:r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returning the COI-referenced rotor-angle trajectory, together with (i) a stability</w:t>
      </w:r>
      <w:r>
        <w:t xml:space="preserve"> </w:t>
      </w:r>
      <w:r>
        <w:t xml:space="preserve">classification under the</w:t>
      </w:r>
      <w:r>
        <w:t xml:space="preserve"> </w:t>
      </w:r>
      <m:oMath>
        <m:r>
          <m:t>π</m:t>
        </m:r>
      </m:oMath>
      <w:r>
        <w:t xml:space="preserve">-separation criterion, (ii) the critical clearing time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b>
        </m:sSub>
      </m:oMath>
      <w:r>
        <w:t xml:space="preserve">, the first clearing time at which the criterion is violated as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increases from zero—a dense sweep found a single dominant stable-to-unstable crossing on most</w:t>
      </w:r>
      <w:r>
        <w:t xml:space="preserve"> </w:t>
      </w:r>
      <w:r>
        <w:t xml:space="preserve">buses (1–5 local flips at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ms resolution, concentrated on the two largest-CCT buses), so</w:t>
      </w:r>
      <w:r>
        <w:t xml:space="preserve"> </w:t>
      </w:r>
      <w:r>
        <w:t xml:space="preserve">on the held-out buses this coincides with the largest stable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—and (iii) a calibrated error</w:t>
      </w:r>
      <w:r>
        <w:t xml:space="preserve"> </w:t>
      </w:r>
      <w:r>
        <w:t xml:space="preserve">band on the trajectory, in the statistical sense made precise in Section </w:t>
      </w:r>
      <w:hyperlink w:anchor="sec:method">
        <w:r>
          <w:rPr>
            <w:rStyle w:val="ab"/>
          </w:rPr>
          <w:t xml:space="preserve">4</w:t>
        </w:r>
      </w:hyperlink>
      <w:r>
        <w:t xml:space="preserve">.</w:t>
      </w:r>
    </w:p>
    <w:bookmarkEnd w:id="31"/>
    <w:bookmarkEnd w:id="32"/>
    <w:bookmarkStart w:id="42" w:name="sec:method"/>
    <w:p>
      <w:pPr>
        <w:pStyle w:val="1"/>
      </w:pPr>
      <w:r>
        <w:t xml:space="preserve">Method</w:t>
      </w:r>
    </w:p>
    <w:bookmarkStart w:id="33" w:name="physics-informed-fault-encoding"/>
    <w:p>
      <w:pPr>
        <w:pStyle w:val="2"/>
      </w:pPr>
      <w:r>
        <w:t xml:space="preserve">Physics-informed fault encoding</w:t>
      </w:r>
    </w:p>
    <w:p>
      <w:pPr>
        <w:pStyle w:val="FirstParagraph"/>
      </w:pPr>
      <w:r>
        <w:t xml:space="preserve">A central obstacle to generalization across fault locations is that a bus index is an arbitrary</w:t>
      </w:r>
      <w:r>
        <w:t xml:space="preserve"> </w:t>
      </w:r>
      <w:r>
        <w:t xml:space="preserve">label with no physical meaning: replacing it with a one-hot vector gives the branch network no</w:t>
      </w:r>
      <w:r>
        <w:t xml:space="preserve"> </w:t>
      </w:r>
      <w:r>
        <w:t xml:space="preserve">information about physically similar buses. We instead encode a fault at bus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vector of</w:t>
      </w:r>
      <w:r>
        <w:t xml:space="preserve"> </w:t>
      </w:r>
      <w:r>
        <w:t xml:space="preserve">initial accelerations it induces, computed from the swing equation at the pre-fault equilibrium,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P</m:t>
            </m:r>
          </m:e>
          <m:sub>
            <m:r>
              <m:t>e</m:t>
            </m:r>
            <m:r>
              <m:t>i</m:t>
            </m:r>
          </m:sub>
          <m:sup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the electrical power of machine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during the fault at bus</w:t>
      </w:r>
      <w:r>
        <w:t xml:space="preserve"> </w:t>
      </w:r>
      <m:oMath>
        <m:r>
          <m:t>k</m:t>
        </m:r>
      </m:oMath>
      <w:r>
        <w:t xml:space="preserve">, evaluated at the pre-fault angles—precisely the initial rate of change of per-unit speed in</w:t>
      </w:r>
      <w:r>
        <w:t xml:space="preserve"> </w:t>
      </w:r>
      <w:hyperlink w:anchor="eq:swing2">
        <w:r>
          <w:rPr>
            <w:rStyle w:val="ab"/>
          </w:rPr>
          <w:t xml:space="preserve">[eq:swing2]</w:t>
        </w:r>
      </w:hyperlink>
      <w:r>
        <w:t xml:space="preserve"> </w:t>
      </w:r>
      <w:r>
        <w:t xml:space="preserve">(the angular acceleration is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). Dividing by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makes machines</w:t>
      </w:r>
      <w:r>
        <w:t xml:space="preserve"> </w:t>
      </w:r>
      <w:r>
        <w:t xml:space="preserve">of widely different inertia contribute comparably, and continuity in the fault admittance maps</w:t>
      </w:r>
      <w:r>
        <w:t xml:space="preserve"> </w:t>
      </w:r>
      <w:r>
        <w:t xml:space="preserve">physically similar faults to nearby encodings. The branch input is the concatenation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the normalized clearing time. The encoding is not claimed to be</w:t>
      </w:r>
      <w:r>
        <w:t xml:space="preserve"> </w:t>
      </w:r>
      <w:r>
        <w:t xml:space="preserve">injective—two scenarios with similar encodings can still differ in later response near the</w:t>
      </w:r>
      <w:r>
        <w:t xml:space="preserve"> </w:t>
      </w:r>
      <w:r>
        <w:t xml:space="preserve">stability boundary—but 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 </w:t>
      </w:r>
      <w:r>
        <w:t xml:space="preserve">shows it transfers the information needed for</w:t>
      </w:r>
      <w:r>
        <w:t xml:space="preserve"> </w:t>
      </w:r>
      <w:r>
        <w:t xml:space="preserve">this task, while the conformal band flags the scenarios where the prediction is least reliable.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contingencies, in which a line is tripped at fault clearing, the post-fault reduced</w:t>
      </w:r>
      <w:r>
        <w:t xml:space="preserve"> </w:t>
      </w:r>
      <w:r>
        <w:t xml:space="preserve">admittance and the post-fault dynamics both change. We encode this change symmetrically with a</w:t>
      </w:r>
      <w:r>
        <w:t xml:space="preserve"> </w:t>
      </w:r>
      <w:r>
        <w:rPr>
          <w:i/>
          <w:iCs/>
        </w:rPr>
        <w:t xml:space="preserve">post-fault</w:t>
      </w:r>
      <w:r>
        <w:t xml:space="preserve"> </w:t>
      </w:r>
      <w:r>
        <w:t xml:space="preserve">severity vector,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P</m:t>
            </m:r>
          </m:e>
          <m:sub>
            <m:r>
              <m:t>e</m:t>
            </m:r>
            <m:r>
              <m:t>i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post-fault electrical power at the pre-fault angles with</w:t>
      </w:r>
      <w:r>
        <w:t xml:space="preserve"> </w:t>
      </w:r>
      <w:r>
        <w:t xml:space="preserve">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removed; for the intact network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The full scenario encoding concatenates</w:t>
      </w:r>
      <w:r>
        <w:t xml:space="preserve"> </w:t>
      </w:r>
      <w:r>
        <w:t xml:space="preserve">the fault-on severity</w:t>
      </w:r>
      <w:r>
        <w:t xml:space="preserve"> </w:t>
      </w:r>
      <w:hyperlink w:anchor="eq:severity">
        <w:r>
          <w:rPr>
            <w:rStyle w:val="ab"/>
          </w:rPr>
          <w:t xml:space="preserve">[eq:severity]</w:t>
        </w:r>
      </w:hyperlink>
      <w:r>
        <w:t xml:space="preserve">, the post-fault severity</w:t>
      </w:r>
      <w:r>
        <w:t xml:space="preserve"> </w:t>
      </w:r>
      <w:hyperlink w:anchor="eq:postseverity">
        <w:r>
          <w:rPr>
            <w:rStyle w:val="ab"/>
          </w:rPr>
          <w:t xml:space="preserve">[eq:postseverity]</w:t>
        </w:r>
      </w:hyperlink>
      <w:r>
        <w:t xml:space="preserve">, and</w:t>
      </w:r>
      <w:r>
        <w:t xml:space="preserve"> </w:t>
      </w:r>
      <w:r>
        <w:t xml:space="preserve">the clearing time.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contingencies the same vector is evaluated with both lines removed: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</m:oMath>
      <w:r>
        <w:t xml:space="preserve"> </w:t>
      </w:r>
      <w:r>
        <w:t xml:space="preserve">is always an</w:t>
      </w:r>
      <w:r>
        <w:t xml:space="preserve"> </w:t>
      </w:r>
      <m:oMath>
        <m:r>
          <m:t>n</m:t>
        </m:r>
      </m:oMath>
      <w:r>
        <w:t xml:space="preserve">-dimensional vector evaluated at the pre-fault angles, so the</w:t>
      </w:r>
      <w:r>
        <w:t xml:space="preserve"> </w:t>
      </w:r>
      <w:r>
        <w:t xml:space="preserve">encoding dimension is unchanged and the same branch network applies without modification.</w:t>
      </w:r>
    </w:p>
    <w:bookmarkEnd w:id="33"/>
    <w:bookmarkStart w:id="38" w:name="neural-operator-architecture"/>
    <w:p>
      <w:pPr>
        <w:pStyle w:val="2"/>
      </w:pPr>
      <w:r>
        <w:t xml:space="preserve">Neural operator architecture</w:t>
      </w:r>
    </w:p>
    <w:p>
      <w:pPr>
        <w:pStyle w:val="FirstParagraph"/>
      </w:pPr>
      <w:r>
        <w:t xml:space="preserve">We use a DeepONet. The branch network</w:t>
      </w:r>
      <w:r>
        <w:t xml:space="preserve"> </w:t>
      </w:r>
      <m:oMath>
        <m:sSub>
          <m:e>
            <m:r>
              <m:t>b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maps the scenario encoding to a matrix of basis</w:t>
      </w:r>
      <w:r>
        <w:t xml:space="preserve"> </w:t>
      </w:r>
      <w:r>
        <w:t xml:space="preserve">coefficients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p</m:t>
            </m:r>
          </m:sup>
        </m:sSup>
      </m:oMath>
      <w:r>
        <w:t xml:space="preserve">; the trunk network</w:t>
      </w:r>
      <w:r>
        <w:t xml:space="preserve"> </w:t>
      </w:r>
      <m:oMath>
        <m:sSub>
          <m:e>
            <m:r>
              <m:t>τ</m:t>
            </m:r>
          </m:e>
          <m:sub>
            <m:r>
              <m:t>ϕ</m:t>
            </m:r>
          </m:sub>
        </m:sSub>
      </m:oMath>
      <w:r>
        <w:t xml:space="preserve"> </w:t>
      </w:r>
      <w:r>
        <w:t xml:space="preserve">maps time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basis functions. The predicted trajectory is the contraction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δ</m:t>
              </m:r>
            </m:e>
          </m:acc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r>
            <m:t>τ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swing dynamics are oscillatory, we feed the trunk a Fourier feature embedding of</w:t>
      </w:r>
      <w:r>
        <w:t xml:space="preserve"> </w:t>
      </w:r>
      <w:r>
        <w:t xml:space="preserve">time,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k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k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</m:sSubSup>
      </m:oMath>
      <w:r>
        <w:t xml:space="preserve">, before a small multilayer perceptron,</w:t>
      </w:r>
      <w:r>
        <w:t xml:space="preserve"> </w:t>
      </w:r>
      <w:r>
        <w:t xml:space="preserve">so the trunk represents the natural oscillation modes more efficiently than a plain perceptron.</w:t>
      </w:r>
      <w:r>
        <w:t xml:space="preserve"> </w:t>
      </w:r>
      <w:r>
        <w:t xml:space="preserve">The trunk is smooth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, so its time derivatives are available by automatic differentiation for the optional</w:t>
      </w:r>
      <w:r>
        <w:t xml:space="preserve"> </w:t>
      </w:r>
      <w:r>
        <w:t xml:space="preserve">physics residual below. Fig. </w:t>
      </w:r>
      <w:hyperlink w:anchor="fig:arch">
        <w:r>
          <w:rPr>
            <w:rStyle w:val="ab"/>
          </w:rPr>
          <w:t xml:space="preserve">1</w:t>
        </w:r>
      </w:hyperlink>
      <w:r>
        <w:t xml:space="preserve"> </w:t>
      </w:r>
      <w:r>
        <w:t xml:space="preserve">summarizes the proposed pipeline.</w:t>
      </w:r>
    </w:p>
    <w:bookmarkStart w:id="37" w:name="fig:arch"/>
    <w:p>
      <w:pPr>
        <w:pStyle w:val="CaptionedFigure"/>
      </w:pPr>
      <w:r>
        <w:drawing>
          <wp:inline>
            <wp:extent cx="3108960" cy="106592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_arch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06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t>Fig. 1.  </w:t>
      </w:r>
      <w:pPr>
        <w:pStyle w:val="ImageCaption"/>
      </w:pPr>
      <w:r>
        <w:t xml:space="preserve">Overview of the proposed physics-informed neural operator (</w:t>
      </w:r>
      <m:oMath>
        <m:r>
          <m:t>N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configuration shown;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/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additionally use the post-fault severity vector): a fault scenario is mapped</w:t>
      </w:r>
      <w:r>
        <w:t xml:space="preserve"> </w:t>
      </w:r>
      <w:r>
        <w:t xml:space="preserve">through the physics-informed encoding to a branch network, whose coefficients contract with a</w:t>
      </w:r>
      <w:r>
        <w:t xml:space="preserve"> </w:t>
      </w:r>
      <w:r>
        <w:t xml:space="preserve">Fourier-feature trunk to yield the predicted rotor-angle trajectory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δ</m:t>
            </m:r>
          </m:e>
        </m:acc>
      </m:oMath>
      <w:r>
        <w:t xml:space="preserve">; split</w:t>
      </w:r>
      <w:r>
        <w:t xml:space="preserve"> </w:t>
      </w:r>
      <w:r>
        <w:t xml:space="preserve">conformal prediction then attaches a distribution-free error envelope.</w:t>
      </w:r>
    </w:p>
    <w:bookmarkEnd w:id="37"/>
    <w:bookmarkEnd w:id="38"/>
    <w:bookmarkStart w:id="39" w:name="physics-residual-loss-auxiliary"/>
    <w:p>
      <w:pPr>
        <w:pStyle w:val="2"/>
      </w:pPr>
      <w:r>
        <w:t xml:space="preserve">Physics-residual loss (auxiliary)</w:t>
      </w:r>
    </w:p>
    <w:p>
      <w:pPr>
        <w:pStyle w:val="FirstParagraph"/>
      </w:pPr>
      <w:r>
        <w:t xml:space="preserve">Following the PINN paradigm, we optionally add a residual of the post-fault swing equation in the</w:t>
      </w:r>
      <w:r>
        <w:t xml:space="preserve"> </w:t>
      </w:r>
      <w:r>
        <w:t xml:space="preserve">COI frame. Differentiating the COI definition under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acc>
              <m:accPr>
                <m:chr m:val="̈"/>
              </m:accPr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m</m:t>
            </m:r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e</m:t>
            </m:r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ω</m:t>
            </m:r>
          </m:e>
          <m:sub>
            <m:r>
              <m:t>s</m:t>
            </m:r>
          </m:sub>
        </m:sSub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e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is the COI acceleration and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M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. Dividing by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 that machines of widely different inertia</w:t>
      </w:r>
      <w:r>
        <w:t xml:space="preserve"> </w:t>
      </w:r>
      <w:r>
        <w:t xml:space="preserve">contribute comparably (otherwise the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s aggregate machine at bus 39 dominates the sum),</w:t>
      </w:r>
      <w:r>
        <w:t xml:space="preserve"> </w:t>
      </w:r>
      <w:r>
        <w:t xml:space="preserve">the per-machine residual enforced at a set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of collocation times in the post-fault</w:t>
      </w:r>
      <w:r>
        <w:t xml:space="preserve"> </w:t>
      </w:r>
      <w:r>
        <w:t xml:space="preserve">region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acc>
                <m:accPr>
                  <m:chr m:val="̈"/>
                </m:accPr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rPr>
                  <m:sty m:val="bi"/>
                </m:rPr>
                <m:t>δ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per-machine division by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makes the term comparable across machines; it retains</w:t>
      </w:r>
      <w:r>
        <w:t xml:space="preserve"> </w:t>
      </w:r>
      <w:r>
        <w:t xml:space="preserve">acceleration units and is a soft penalty rather than a hard constraint. The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factor</w:t>
      </w:r>
      <w:r>
        <w:t xml:space="preserve"> </w:t>
      </w:r>
      <w:r>
        <w:t xml:space="preserve">enters through the frequency-to-angle relation and fixes the scaling between the curvature and</w:t>
      </w:r>
      <w:r>
        <w:t xml:space="preserve"> </w:t>
      </w:r>
      <w:r>
        <w:t xml:space="preserve">power-mismatch terms. The total loss is the data loss plus</w:t>
      </w:r>
      <w:r>
        <w:t xml:space="preserve"> </w:t>
      </w:r>
      <m:oMath>
        <m:r>
          <m:t>λ</m:t>
        </m:r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s</m:t>
            </m:r>
          </m:sub>
        </m:sSub>
      </m:oMath>
      <w:r>
        <w:t xml:space="preserve">,</w:t>
      </w:r>
      <w:r>
        <w:t xml:space="preserve"> </w:t>
      </w:r>
      <w:r>
        <w:t xml:space="preserve">enforced only in the post-fault region (the fault-on admittance varies per scenario) at every</w:t>
      </w:r>
      <w:r>
        <w:t xml:space="preserve"> </w:t>
      </w:r>
      <w:r>
        <w:t xml:space="preserve">fifth output time point; denser collocation is ablated in 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.</w:t>
      </w:r>
    </w:p>
    <w:bookmarkEnd w:id="39"/>
    <w:bookmarkStart w:id="40" w:name="conformal-calibration"/>
    <w:p>
      <w:pPr>
        <w:pStyle w:val="2"/>
      </w:pPr>
      <w:r>
        <w:t xml:space="preserve">Conformal calibration</w:t>
      </w:r>
    </w:p>
    <w:p>
      <w:pPr>
        <w:pStyle w:val="FirstParagraph"/>
      </w:pPr>
      <w:r>
        <w:t xml:space="preserve">The trajectory operator alone gives no indication of its own error. We use split conformal</w:t>
      </w:r>
      <w:r>
        <w:t xml:space="preserve"> </w:t>
      </w:r>
      <w:r>
        <w:t xml:space="preserve">prediction </w:t>
      </w:r>
      <w:r>
        <w:t xml:space="preserve">[6]</w:t>
      </w:r>
      <w:r>
        <w:t xml:space="preserve"> </w:t>
      </w:r>
      <w:r>
        <w:t xml:space="preserve">to attach a finite-sample, distribution-free band to the</w:t>
      </w:r>
      <w:r>
        <w:t xml:space="preserve"> </w:t>
      </w:r>
      <w:r>
        <w:t xml:space="preserve">single-machine COI angles, calibrated on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scenarios: unstable trajectories diverge</w:t>
      </w:r>
      <w:r>
        <w:t xml:space="preserve"> </w:t>
      </w:r>
      <w:r>
        <w:t xml:space="preserve">and carry errors orders of magnitude beyond any useful bound, so the band is defined on the stable</w:t>
      </w:r>
      <w:r>
        <w:t xml:space="preserve"> </w:t>
      </w:r>
      <w:r>
        <w:t xml:space="preserve">subpopulation by design—a scope choice, not a claim that unstable dynamics are mathematically</w:t>
      </w:r>
      <w:r>
        <w:t xml:space="preserve"> </w:t>
      </w:r>
      <w:r>
        <w:t xml:space="preserve">ill-posed. For a scenario</w:t>
      </w:r>
      <w:r>
        <w:t xml:space="preserve"> </w:t>
      </w:r>
      <m:oMath>
        <m:r>
          <m:t>s</m:t>
        </m:r>
      </m:oMath>
      <w:r>
        <w:t xml:space="preserve">, the nonconformity score is the worst-case prediction error over</w:t>
      </w:r>
      <w:r>
        <w:t xml:space="preserve"> </w:t>
      </w:r>
      <w:r>
        <w:t xml:space="preserve">machines and output-grid time points,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lim>
          </m:limLow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split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stable scenarios of the held-out test set (Section </w:t>
      </w:r>
      <w:hyperlink w:anchor="sec:setup">
        <w:r>
          <w:rPr>
            <w:rStyle w:val="ab"/>
          </w:rPr>
          <w:t xml:space="preserve">5</w:t>
        </w:r>
      </w:hyperlink>
      <w:r>
        <w:t xml:space="preserve">)—which the</w:t>
      </w:r>
      <w:r>
        <w:t xml:space="preserve"> </w:t>
      </w:r>
      <w:r>
        <w:t xml:space="preserve">operator never saw during training and which are drawn at random from the same held-out-bus</w:t>
      </w:r>
      <w:r>
        <w:t xml:space="preserve"> </w:t>
      </w:r>
      <w:r>
        <w:t xml:space="preserve">sampling distribution, so calibration and evaluation scores are exchangeable—into a calibration</w:t>
      </w:r>
      <w:r>
        <w:t xml:space="preserve"> </w:t>
      </w:r>
      <w:r>
        <w:t xml:space="preserve">half 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) and a disjoint evaluation half 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</m:sub>
        </m:sSub>
      </m:oMath>
      <w:r>
        <w:t xml:space="preserve">). For target</w:t>
      </w:r>
      <w:r>
        <w:t xml:space="preserve"> </w:t>
      </w:r>
      <w:r>
        <w:t xml:space="preserve">miscoverage</w:t>
      </w:r>
      <w:r>
        <w:t xml:space="preserve"> </w:t>
      </w:r>
      <m:oMath>
        <m:r>
          <m:t>α</m:t>
        </m:r>
      </m:oMath>
      <w:r>
        <w:t xml:space="preserve">, the bound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-th order statistic of the calibration scores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 the standard finite-sample split-conformal</w:t>
      </w:r>
      <w:r>
        <w:t xml:space="preserve"> </w:t>
      </w:r>
      <w:r>
        <w:t xml:space="preserve">rule. For a new scenario exchangeable with the calibration scenarios and drawn from the same</w:t>
      </w:r>
      <w:r>
        <w:t xml:space="preserve"> </w:t>
      </w:r>
      <w:r>
        <w:t xml:space="preserve">distribution</w:t>
      </w:r>
      <w:r>
        <w:t xml:space="preserve"> </w:t>
      </w:r>
      <w:r>
        <w:rPr>
          <w:i/>
          <w:iCs/>
        </w:rPr>
        <w:t xml:space="preserve">conditionally on being truly stable</w:t>
      </w:r>
      <w:r>
        <w:t xml:space="preserve">, the whole predicted trajectory is then</w:t>
      </w:r>
      <w:r>
        <w:t xml:space="preserve"> </w:t>
      </w:r>
      <w:r>
        <w:t xml:space="preserve">covered simultaneously on the output grid: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{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T</m:t>
                </m:r>
              </m:e>
              <m:sub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d</m:t>
                </m:r>
              </m:sub>
            </m:sSub>
          </m:sub>
        </m:sSub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∣</m:t>
        </m:r>
        <m:r>
          <m:rPr>
            <m:nor/>
            <m:sty m:val="p"/>
          </m:rPr>
          <m:t>scenario stable</m:t>
        </m:r>
        <m:r>
          <m:rPr>
            <m:sty m:val="p"/>
          </m:rPr>
          <m:t>}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 i.e.,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exchangeable stable scenarios,</w:t>
      </w:r>
      <w:r>
        <w:t xml:space="preserve"> </w:t>
      </w:r>
      <w:r>
        <w:t xml:space="preserve">every single-machine COI angle at every</w:t>
      </w:r>
      <w:r>
        <w:t xml:space="preserve"> </w:t>
      </w:r>
      <w:r>
        <w:rPr>
          <w:i/>
          <w:iCs/>
        </w:rPr>
        <w:t xml:space="preserve">output-grid</w:t>
      </w:r>
      <w:r>
        <w:t xml:space="preserve"> </w:t>
      </w:r>
      <w:r>
        <w:t xml:space="preserve">point lies within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of the</w:t>
      </w:r>
      <w:r>
        <w:t xml:space="preserve"> </w:t>
      </w:r>
      <w:r>
        <w:t xml:space="preserve">truth. Three limits are</w:t>
      </w:r>
      <w:r>
        <w:t xml:space="preserve"> </w:t>
      </w:r>
      <w:r>
        <w:t xml:space="preserve">explicit: the guarantee is marginal over the stable subpopulation (it does not cover misclassified</w:t>
      </w:r>
      <w:r>
        <w:t xml:space="preserve"> </w:t>
      </w:r>
      <w:r>
        <w:t xml:space="preserve">unstable scenarios); it applies to the finite output grid (a denser-grid check found no missed</w:t>
      </w:r>
      <w:r>
        <w:t xml:space="preserve"> </w:t>
      </w:r>
      <w:r>
        <w:t xml:space="preserve">criterion crossings, 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); and it is a calibrated trajectory band, not a</w:t>
      </w:r>
      <w:r>
        <w:t xml:space="preserve"> </w:t>
      </w:r>
      <w:r>
        <w:t xml:space="preserve">stability certificate. By the triangle inequality, the pairwise angle difference relevant to the</w:t>
      </w:r>
      <w:r>
        <w:t xml:space="preserve"> </w:t>
      </w:r>
      <w:r>
        <w:t xml:space="preserve">stability criterion is bounded by</w:t>
      </w:r>
      <w:r>
        <w:t xml:space="preserve"> </w:t>
      </w:r>
      <m:oMath>
        <m:r>
          <m:t>2</m:t>
        </m:r>
        <m:acc>
          <m:accPr>
            <m:chr m:val="̂"/>
          </m:accPr>
          <m:e>
            <m:r>
              <m:t>q</m:t>
            </m:r>
          </m:e>
        </m:acc>
      </m:oMath>
      <w:r>
        <w:t xml:space="preserve">, which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exceeds the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threshold.</w:t>
      </w:r>
    </w:p>
    <w:p>
      <w:pPr>
        <w:pStyle w:val="BodyText"/>
      </w:pPr>
      <w:r>
        <w:t xml:space="preserve">To bound the decision quantity directly, we also calibrate a pairwise-difference score over the</w:t>
      </w:r>
      <w:r>
        <w:t xml:space="preserve"> </w:t>
      </w:r>
      <w:r>
        <w:t xml:space="preserve">signed per-machine errors,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lim>
          </m:limLow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scores exactly the pairwise angle spread appearing in the</w:t>
      </w:r>
      <w:r>
        <w:t xml:space="preserve"> </w:t>
      </w:r>
      <m:oMath>
        <m:r>
          <m:t>π</m:t>
        </m:r>
      </m:oMath>
      <w:r>
        <w:t xml:space="preserve">-separation criterion; the</w:t>
      </w:r>
      <w:r>
        <w:t xml:space="preserve"> </w:t>
      </w:r>
      <w:r>
        <w:t xml:space="preserve">errors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keep their sign, so that oppositely signed machine errors add rather than</w:t>
      </w:r>
      <w:r>
        <w:t xml:space="preserve"> </w:t>
      </w:r>
      <w:r>
        <w:t xml:space="preserve">cancel. As shown in 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bounds the pairwise difference to</w:t>
      </w:r>
      <w:r>
        <w:t xml:space="preserve"> </w:t>
      </w:r>
      <w:r>
        <w:t xml:space="preserve">148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—below the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threshold, but too wide to certify decisions</w:t>
      </w:r>
      <w:r>
        <w:t xml:space="preserve"> </w:t>
      </w:r>
      <w:r>
        <w:t xml:space="preserve">in practice: the rule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t xml:space="preserve">resolves 0% of the</w:t>
      </w:r>
      <w:r>
        <w:t xml:space="preserve"> </w:t>
      </w:r>
      <w:r>
        <w:t xml:space="preserve">predicted-stable cases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 rising to</w:t>
      </w:r>
      <w:r>
        <w:t xml:space="preserve"> </w:t>
      </w:r>
      <m:oMath>
        <m:r>
          <m:t>31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67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as the bound tightens. The pairwise bound is therefore a screening aid used with a</w:t>
      </w:r>
      <w:r>
        <w:t xml:space="preserve"> </w:t>
      </w:r>
      <w:r>
        <w:t xml:space="preserve">TDS fallback for the unresolved fraction, not a stand-alone decision rule. Multiplicity-corrected</w:t>
      </w:r>
      <w:r>
        <w:t xml:space="preserve"> </w:t>
      </w:r>
      <w:r>
        <w:t xml:space="preserve">per-machine bounds (Bonferroni/Šidák) do not tighten the pairwise bound</w:t>
      </w:r>
      <w:r>
        <w:t xml:space="preserve"> </w:t>
      </w:r>
      <w:r>
        <w:t xml:space="preserve">(Section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); any joint guarantee would additionally require the structural</w:t>
      </w:r>
      <w:r>
        <w:t xml:space="preserve"> </w:t>
      </w:r>
      <w:r>
        <w:t xml:space="preserve">conditions of the chosen correction.</w:t>
      </w:r>
    </w:p>
    <w:p>
      <w:pPr>
        <w:pStyle w:val="BodyText"/>
      </w:pPr>
      <w:r>
        <w:t xml:space="preserve">A CCT band can be derived from the per-machine interval: clearing times whose predicted</w:t>
      </w:r>
      <w:r>
        <w:t xml:space="preserve"> </w:t>
      </w:r>
      <w:r>
        <w:t xml:space="preserve">trajectory, shifted by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in spread space, cannot reach the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threshold are</w:t>
      </w:r>
      <w:r>
        <w:t xml:space="preserve"> </w:t>
      </w:r>
      <w:r>
        <w:t xml:space="preserve">declared stable with margin, and clearing times whose shifted spread exceeds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shifts are declared unstable; the remainder forms the band, found by the same binary search with</w:t>
      </w:r>
      <w:r>
        <w:t xml:space="preserve"> </w:t>
      </w:r>
      <w:r>
        <w:t xml:space="preserve">the shifted criterion. Because the trajectory bound at one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does not transfer across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CCT is a nonlinear functional of the trajectory), this CCT band is</w:t>
      </w:r>
      <w:r>
        <w:t xml:space="preserve"> </w:t>
      </w:r>
      <w:r>
        <w:rPr>
          <w:i/>
          <w:iCs/>
        </w:rPr>
        <w:t xml:space="preserve">heuristic</w:t>
      </w:r>
      <w:r>
        <w:t xml:space="preserve">: it</w:t>
      </w:r>
      <w:r>
        <w:t xml:space="preserve"> </w:t>
      </w:r>
      <w:r>
        <w:t xml:space="preserve">carries no formal coverage guarantee and is reported as a screening aid</w:t>
      </w:r>
      <w:r>
        <w:t xml:space="preserve"> </w:t>
      </w:r>
      <w:r>
        <w:t xml:space="preserve">(Section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).</w:t>
      </w:r>
    </w:p>
    <w:bookmarkEnd w:id="40"/>
    <w:bookmarkStart w:id="41" w:name="critical-clearing-time-estimation"/>
    <w:p>
      <w:pPr>
        <w:pStyle w:val="2"/>
      </w:pPr>
      <w:r>
        <w:t xml:space="preserve">Critical clearing time estimation</w:t>
      </w:r>
    </w:p>
    <w:p>
      <w:pPr>
        <w:pStyle w:val="FirstParagraph"/>
      </w:pPr>
      <w:r>
        <w:t xml:space="preserve">Given the operator, the CCT of a fault is estimated by binary search over the clearing time: for</w:t>
      </w:r>
      <w:r>
        <w:t xml:space="preserve"> </w:t>
      </w:r>
      <w:r>
        <w:t xml:space="preserve">each candidate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the operator predicts the trajectory, and the scenario is declared unstable</w:t>
      </w:r>
      <w:r>
        <w:t xml:space="preserve"> </w:t>
      </w:r>
      <w:r>
        <w:t xml:space="preserve">if the maximum pairwise angle spread exceeds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output-grid point—the same</w:t>
      </w:r>
      <w:r>
        <w:t xml:space="preserve"> </w:t>
      </w:r>
      <w:r>
        <w:t xml:space="preserve">max-over-time criterion used for the reference labels. The search uses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iterations over</w:t>
      </w:r>
      <w:r>
        <w:t xml:space="preserve"> </w:t>
      </w:r>
      <m:oMath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t xml:space="preserve"> </w:t>
      </w:r>
      <w:r>
        <w:t xml:space="preserve">s (</w:t>
      </w:r>
      <m:oMath>
        <m:r>
          <m:rPr>
            <m:sty m:val="p"/>
          </m:rPr>
          <m:t>[</m:t>
        </m:r>
        <m:r>
          <m:t>0.005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]</m:t>
        </m:r>
      </m:oMath>
      <w:r>
        <w:t xml:space="preserve"> </w:t>
      </w:r>
      <w:r>
        <w:t xml:space="preserve">s for the 118-bus system); the same protocol is applied to the TDS</w:t>
      </w:r>
      <w:r>
        <w:t xml:space="preserve"> </w:t>
      </w:r>
      <w:r>
        <w:t xml:space="preserve">reference, so the two CCT estimates are directly comparable. The</w:t>
      </w:r>
      <w:r>
        <w:t xml:space="preserve"> </w:t>
      </w:r>
      <m:oMath>
        <m:r>
          <m:t>12</m:t>
        </m:r>
        <m:r>
          <m:t> </m:t>
        </m:r>
        <m:r>
          <m:t>μ</m:t>
        </m:r>
      </m:oMath>
      <w:r>
        <w:t xml:space="preserve">s interval is the</w:t>
      </w:r>
      <w:r>
        <w:t xml:space="preserve"> </w:t>
      </w:r>
      <w:r>
        <w:rPr>
          <w:i/>
          <w:iCs/>
        </w:rPr>
        <w:t xml:space="preserve">search tolerance</w:t>
      </w:r>
      <w:r>
        <w:t xml:space="preserve"> </w:t>
      </w:r>
      <w:r>
        <w:t xml:space="preserve">of the bisection, not the physical accuracy of the CCT; the reference</w:t>
      </w:r>
      <w:r>
        <w:t xml:space="preserve"> </w:t>
      </w:r>
      <w:r>
        <w:t xml:space="preserve">itself uses the event-aligned RK4 scheme of Section </w:t>
      </w:r>
      <w:hyperlink w:anchor="sec:problem">
        <w:r>
          <w:rPr>
            <w:rStyle w:val="ab"/>
          </w:rPr>
          <w:t xml:space="preserve">3</w:t>
        </w:r>
      </w:hyperlink>
      <w:r>
        <w:t xml:space="preserve">, whose convergence was</w:t>
      </w:r>
      <w:r>
        <w:t xml:space="preserve"> </w:t>
      </w:r>
      <w:r>
        <w:t xml:space="preserve">verified at a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ms step, and both judge stability on the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s output grid.</w:t>
      </w:r>
    </w:p>
    <w:bookmarkEnd w:id="41"/>
    <w:bookmarkEnd w:id="42"/>
    <w:bookmarkStart w:id="47" w:name="sec:setup"/>
    <w:p>
      <w:pPr>
        <w:pStyle w:val="1"/>
      </w:pPr>
      <w:r>
        <w:t xml:space="preserve">Experimental Setup</w:t>
      </w:r>
    </w:p>
    <w:bookmarkStart w:id="43" w:name="test-system-and-data"/>
    <w:p>
      <w:pPr>
        <w:pStyle w:val="2"/>
      </w:pPr>
      <w:r>
        <w:t xml:space="preserve">Test system and data</w:t>
      </w:r>
    </w:p>
    <w:p>
      <w:pPr>
        <w:pStyle w:val="FirstParagraph"/>
      </w:pPr>
      <w:r>
        <w:t xml:space="preserve">We use the IEEE 39-bus New England system with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machines, whose static data are the standard</w:t>
      </w:r>
      <w:r>
        <w:t xml:space="preserve"> </w:t>
      </w:r>
      <w:r>
        <w:t xml:space="preserve">published values and whose dynamic parameters (</w:t>
      </w:r>
      <m:oMath>
        <m:r>
          <m:t>H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) are the canonical</w:t>
      </w:r>
      <w:r>
        <w:t xml:space="preserve"> </w:t>
      </w:r>
      <w:r>
        <w:t xml:space="preserve">classical-model values </w:t>
      </w:r>
      <w:r>
        <w:t xml:space="preserve">[1], [21]</w:t>
      </w:r>
      <w:r>
        <w:t xml:space="preserve">; the specific parameter</w:t>
      </w:r>
      <w:r>
        <w:t xml:space="preserve"> </w:t>
      </w:r>
      <w:r>
        <w:t xml:space="preserve">values and their source are tabulated in the code repository. The reference simulator integrates</w:t>
      </w:r>
      <w:r>
        <w:t xml:space="preserve"> </w:t>
      </w:r>
      <w:hyperlink w:anchor="eq:swing1">
        <w:r>
          <w:rPr>
            <w:rStyle w:val="ab"/>
          </w:rPr>
          <w:t xml:space="preserve">[eq:swing1]</w:t>
        </w:r>
      </w:hyperlink>
      <w:r>
        <w:t xml:space="preserve">–</w:t>
      </w:r>
      <w:hyperlink w:anchor="eq:swing2">
        <w:r>
          <w:rPr>
            <w:rStyle w:val="ab"/>
          </w:rPr>
          <w:t xml:space="preserve">[eq:swing2]</w:t>
        </w:r>
      </w:hyperlink>
      <w:r>
        <w:t xml:space="preserve"> </w:t>
      </w:r>
      <w:r>
        <w:t xml:space="preserve">with the event-aligned RK4 scheme of Section </w:t>
      </w:r>
      <w:hyperlink w:anchor="sec:problem">
        <w:r>
          <w:rPr>
            <w:rStyle w:val="ab"/>
          </w:rPr>
          <w:t xml:space="preserve">3</w:t>
        </w:r>
      </w:hyperlink>
      <w:r>
        <w:t xml:space="preserve"> </w:t>
      </w:r>
      <w:r>
        <w:t xml:space="preserve">at a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ms step over a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 horizon. We draw a fault bus uniformly over all</w:t>
      </w:r>
      <w:r>
        <w:t xml:space="preserve"> </w:t>
      </w:r>
      <m:oMath>
        <m:r>
          <m:t>39</m:t>
        </m:r>
      </m:oMath>
      <w:r>
        <w:t xml:space="preserve"> </w:t>
      </w:r>
      <w:r>
        <w:t xml:space="preserve">buses and a</w:t>
      </w:r>
      <w:r>
        <w:t xml:space="preserve"> </w:t>
      </w:r>
      <w:r>
        <w:t xml:space="preserve">clearing time uniformly in</w:t>
      </w:r>
      <w:r>
        <w:t xml:space="preserve"> </w:t>
      </w:r>
      <m:oMath>
        <m:r>
          <m:rPr>
            <m:sty m:val="p"/>
          </m:rPr>
          <m:t>[</m:t>
        </m:r>
        <m:r>
          <m:t>0.03</m:t>
        </m:r>
        <m:r>
          <m:rPr>
            <m:sty m:val="p"/>
          </m:rPr>
          <m:t>,</m:t>
        </m:r>
        <m:r>
          <m:t>0.55</m:t>
        </m:r>
        <m:r>
          <m:rPr>
            <m:sty m:val="p"/>
          </m:rPr>
          <m:t>]</m:t>
        </m:r>
      </m:oMath>
      <w:r>
        <w:t xml:space="preserve"> </w:t>
      </w:r>
      <w:r>
        <w:t xml:space="preserve">s, producing approximately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stable scenarios. The</w:t>
      </w:r>
      <w:r>
        <w:t xml:space="preserve"> </w:t>
      </w:r>
      <w:r>
        <w:t xml:space="preserve">dataset has</w:t>
      </w:r>
      <w:r>
        <w:t xml:space="preserve"> </w:t>
      </w:r>
      <m:oMath>
        <m:r>
          <m:t>2160</m:t>
        </m:r>
      </m:oMath>
      <w:r>
        <w:t xml:space="preserve"> </w:t>
      </w:r>
      <w:r>
        <w:t xml:space="preserve">training,</w:t>
      </w:r>
      <w:r>
        <w:t xml:space="preserve"> </w:t>
      </w:r>
      <m:oMath>
        <m:r>
          <m:t>540</m:t>
        </m:r>
      </m:oMath>
      <w:r>
        <w:t xml:space="preserve"> </w:t>
      </w:r>
      <w:r>
        <w:t xml:space="preserve">validation, and</w:t>
      </w:r>
      <w:r>
        <w:t xml:space="preserve"> </w:t>
      </w:r>
      <m:oMath>
        <m:r>
          <m:t>960</m:t>
        </m:r>
      </m:oMath>
      <w:r>
        <w:t xml:space="preserve"> </w:t>
      </w:r>
      <w:r>
        <w:t xml:space="preserve">test scenarios; the test set is</w:t>
      </w:r>
      <w:r>
        <w:t xml:space="preserve"> </w:t>
      </w:r>
      <w:r>
        <w:t xml:space="preserve">constructed from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fault buses held out entirely from training, so test performance measures</w:t>
      </w:r>
      <w:r>
        <w:t xml:space="preserve"> </w:t>
      </w:r>
      <w:r>
        <w:t xml:space="preserve">generalization to unseen fault locations, while the validation set is drawn from the training</w:t>
      </w:r>
      <w:r>
        <w:t xml:space="preserve"> </w:t>
      </w:r>
      <w:r>
        <w:t xml:space="preserve">buses. Event-aligned labels differ from the pre-alignment reference (which kept the fault on until</w:t>
      </w:r>
      <w:r>
        <w:t xml:space="preserve"> </w:t>
      </w:r>
      <w:r>
        <w:t xml:space="preserve">the first grid point after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) on exactly one of</w:t>
      </w:r>
      <w:r>
        <w:t xml:space="preserve"> </w:t>
      </w:r>
      <m:oMath>
        <m:r>
          <m:t>960</m:t>
        </m:r>
      </m:oMath>
      <w:r>
        <w:t xml:space="preserve"> </w:t>
      </w:r>
      <w:r>
        <w:t xml:space="preserve">test and one of</w:t>
      </w:r>
      <w:r>
        <w:t xml:space="preserve"> </w:t>
      </w:r>
      <m:oMath>
        <m:r>
          <m:t>2160</m:t>
        </m:r>
      </m:oMath>
      <w:r>
        <w:t xml:space="preserve"> </w:t>
      </w:r>
      <w:r>
        <w:t xml:space="preserve">training</w:t>
      </w:r>
      <w:r>
        <w:t xml:space="preserve"> </w:t>
      </w:r>
      <w:r>
        <w:t xml:space="preserve">scenarios, both at the stability boundary. The CCT search range</w:t>
      </w:r>
      <w:r>
        <w:t xml:space="preserve"> </w:t>
      </w:r>
      <m:oMath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t xml:space="preserve"> </w:t>
      </w:r>
      <w:r>
        <w:t xml:space="preserve">s covers the observed 39-bus CCTs (</w:t>
      </w:r>
      <m:oMath>
        <m:r>
          <m:t>0.13</m:t>
        </m:r>
      </m:oMath>
      <w:r>
        <w:t xml:space="preserve">–</w:t>
      </w:r>
      <m:oMath>
        <m:r>
          <m:t>0.58</m:t>
        </m:r>
      </m:oMath>
      <w:r>
        <w:t xml:space="preserve"> </w:t>
      </w:r>
      <w:r>
        <w:t xml:space="preserve">s</w:t>
      </w:r>
      <w:r>
        <w:t xml:space="preserve"> </w:t>
      </w:r>
      <w:r>
        <w:t xml:space="preserve">over all buses,</w:t>
      </w:r>
      <w:r>
        <w:t xml:space="preserve"> </w:t>
      </w:r>
      <m:oMath>
        <m:r>
          <m:t>0.13</m:t>
        </m:r>
      </m:oMath>
      <w:r>
        <w:t xml:space="preserve">–</w:t>
      </w:r>
      <m:oMath>
        <m:r>
          <m:t>0.45</m:t>
        </m:r>
      </m:oMath>
      <w:r>
        <w:t xml:space="preserve"> </w:t>
      </w:r>
      <w:r>
        <w:t xml:space="preserve">s on the held-out buses).</w:t>
      </w:r>
    </w:p>
    <w:bookmarkEnd w:id="43"/>
    <w:bookmarkStart w:id="44" w:name="baselines-and-ablations"/>
    <w:p>
      <w:pPr>
        <w:pStyle w:val="2"/>
      </w:pPr>
      <w:r>
        <w:t xml:space="preserve">Baselines and ablations</w:t>
      </w:r>
    </w:p>
    <w:p>
      <w:pPr>
        <w:pStyle w:val="FirstParagraph"/>
      </w:pPr>
      <w:r>
        <w:t xml:space="preserve">We compare against the same DeepONet with (i) a one-hot fault encoding; (ii) a physics-residual</w:t>
      </w:r>
      <w:r>
        <w:t xml:space="preserve"> </w:t>
      </w:r>
      <w:r>
        <w:t xml:space="preserve">loss at several weights; (iii) a self-attention branch; and (iv) a Fourier-neural-operator trunk,</w:t>
      </w:r>
      <w:r>
        <w:t xml:space="preserve"> </w:t>
      </w:r>
      <w:r>
        <w:t xml:space="preserve">plus a pointwise multilayer perceptron (MLP) baseline mapping (scenario, time) to the angle</w:t>
      </w:r>
      <w:r>
        <w:t xml:space="preserve"> </w:t>
      </w:r>
      <w:r>
        <w:t xml:space="preserve">directly, graph convolutional networks (GCNs) that predict the stability label or the CCT from</w:t>
      </w:r>
      <w:r>
        <w:t xml:space="preserve"> </w:t>
      </w:r>
      <w:r>
        <w:t xml:space="preserve">raw node features (voltage magnitudes and angles, loads, and a fault flag), and a recurrent (GRU)</w:t>
      </w:r>
      <w:r>
        <w:t xml:space="preserve"> </w:t>
      </w:r>
      <w:r>
        <w:t xml:space="preserve">sequence-to-sequence baseline. The CCT is additionally compared against the transient-energy</w:t>
      </w:r>
      <w:r>
        <w:t xml:space="preserve"> </w:t>
      </w:r>
      <w:r>
        <w:t xml:space="preserve">function (PEBS) method </w:t>
      </w:r>
      <w:r>
        <w:t xml:space="preserve">[21]</w:t>
      </w:r>
      <w:r>
        <w:t xml:space="preserve"> </w:t>
      </w:r>
      <w:r>
        <w:t xml:space="preserve">with the conductance path-integral terms of Athay</w:t>
      </w:r>
      <w:r>
        <w:t xml:space="preserve"> </w:t>
      </w:r>
      <w:r>
        <w:t xml:space="preserve">et al., and an IMEAC-style individual-machine criterion </w:t>
      </w:r>
      <w:r>
        <w:t xml:space="preserve">[22]</w:t>
      </w:r>
      <w:r>
        <w:t xml:space="preserve">. The DeepONet variants, MLP, and GRU share the same dataset,</w:t>
      </w:r>
      <w:r>
        <w:t xml:space="preserve"> </w:t>
      </w:r>
      <w:r>
        <w:t xml:space="preserve">optimizer, class-balanced mean-squared loss (saturating beyond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  <m:r>
          <m:t>π</m:t>
        </m:r>
      </m:oMath>
      <w:r>
        <w:t xml:space="preserve">), and</w:t>
      </w:r>
      <w:r>
        <w:t xml:space="preserve"> </w:t>
      </w:r>
      <m:oMath>
        <m:r>
          <m:t>600</m:t>
        </m:r>
      </m:oMath>
      <w:r>
        <w:t xml:space="preserve">-epoch</w:t>
      </w:r>
      <w:r>
        <w:t xml:space="preserve"> </w:t>
      </w:r>
      <w:r>
        <w:t xml:space="preserve">budget; the GCNs use binary cross-entropy (or MSE) and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epochs on raw observables, so the</w:t>
      </w:r>
      <w:r>
        <w:t xml:space="preserve"> </w:t>
      </w:r>
      <w:r>
        <w:t xml:space="preserve">GCN comparison measures the value of the severity encoding. A severity-MLP baseline receives</w:t>
      </w:r>
      <w:r>
        <w:t xml:space="preserve"> </w:t>
      </w:r>
      <w:r>
        <w:t xml:space="preserve">exactly the same encoding as the operator, and the pointwise MLP and GRU are equipped with the</w:t>
      </w:r>
      <w:r>
        <w:t xml:space="preserve"> </w:t>
      </w:r>
      <w:r>
        <w:t xml:space="preserve">same conformal calibration and CCT search, so all trajectory-level models are compared under one</w:t>
      </w:r>
      <w:r>
        <w:t xml:space="preserve"> </w:t>
      </w:r>
      <w:r>
        <w:t xml:space="preserve">protocol; parameter counts and training budgets are in the repository.</w:t>
      </w:r>
    </w:p>
    <w:bookmarkEnd w:id="44"/>
    <w:bookmarkStart w:id="46" w:name="evaluation"/>
    <w:p>
      <w:pPr>
        <w:pStyle w:val="2"/>
      </w:pPr>
      <w:r>
        <w:t xml:space="preserve">Evaluation</w:t>
      </w:r>
    </w:p>
    <w:p>
      <w:pPr>
        <w:pStyle w:val="FirstParagraph"/>
      </w:pPr>
      <w:r>
        <w:t xml:space="preserve">We report the root-mean-square error (RMSE) of the predicted trajectory over stable test</w:t>
      </w:r>
      <w:r>
        <w:t xml:space="preserve"> </w:t>
      </w:r>
      <w:r>
        <w:t xml:space="preserve">scenarios, decomposed into the fault-on (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) and post-fault (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) regions; the</w:t>
      </w:r>
      <w:r>
        <w:t xml:space="preserve"> </w:t>
      </w:r>
      <w:r>
        <w:t xml:space="preserve">stability classification accuracy under the max-over-time</w:t>
      </w:r>
      <w:r>
        <w:t xml:space="preserve"> </w:t>
      </w:r>
      <m:oMath>
        <m:r>
          <m:t>π</m:t>
        </m:r>
      </m:oMath>
      <w:r>
        <w:t xml:space="preserve">-separation criterion, with the</w:t>
      </w:r>
      <w:r>
        <w:t xml:space="preserve"> </w:t>
      </w:r>
      <w:r>
        <w:t xml:space="preserve">confusion matrix and precision, recall, 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the stable class; the conformal band</w:t>
      </w:r>
      <w:r>
        <w:t xml:space="preserve"> </w:t>
      </w:r>
      <w:r>
        <w:t xml:space="preserve">half-width and its empirical coverage with counts and binomial intervals; the CCT error against</w:t>
      </w:r>
      <w:r>
        <w:t xml:space="preserve"> </w:t>
      </w:r>
      <w:r>
        <w:t xml:space="preserve">the event-aligned TDS binary search; and the wall-clock speedup over the RK4 reference.</w:t>
      </w:r>
      <w:r>
        <w:t xml:space="preserve"> </w:t>
      </w:r>
      <w:r>
        <w:t xml:space="preserve">“RMSE”</w:t>
      </w:r>
      <w:r>
        <w:t xml:space="preserve"> </w:t>
      </w:r>
      <w:r>
        <w:t xml:space="preserve">refers to the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RMSE over all stable scenarios, machines, and time steps in the</w:t>
      </w:r>
      <w:r>
        <w:t xml:space="preserve"> </w:t>
      </w:r>
      <w:r>
        <w:t xml:space="preserve">relevant region, computed in one pass; it is dominated by near-boundary scenarios and is not</w:t>
      </w:r>
      <w:r>
        <w:t xml:space="preserve"> </w:t>
      </w:r>
      <w:r>
        <w:t xml:space="preserve">comparable to a per-scenario time-averaged mean absolute error. All main-table numbers are</w:t>
      </w:r>
      <w:r>
        <w:t xml:space="preserve"> </w:t>
      </w:r>
      <w:r>
        <w:t xml:space="preserve">exported by a single evaluation script from one model and one dataset; four-seed statistics are</w:t>
      </w:r>
      <w:r>
        <w:t xml:space="preserve"> </w:t>
      </w:r>
      <w:r>
        <w:t xml:space="preserve">reported separately where available.</w:t>
      </w:r>
    </w:p>
    <w:p>
      <w:pPr>
        <w:pStyle w:val="BodyText"/>
      </w:pPr>
      <w:r>
        <w:t xml:space="preserve">The operator is implemented in PyTorch (</w:t>
      </w:r>
      <m:oMath>
        <m:r>
          <m:t>2.13</m:t>
        </m:r>
      </m:oMath>
      <w:r>
        <w:t xml:space="preserve">, CUDA</w:t>
      </w:r>
      <w:r>
        <w:t xml:space="preserve"> </w:t>
      </w:r>
      <m:oMath>
        <m:r>
          <m:t>12.6</m:t>
        </m:r>
      </m:oMath>
      <w:r>
        <w:t xml:space="preserve">) and trained on a single NVIDIA RTX</w:t>
      </w:r>
      <w:r>
        <w:t xml:space="preserve"> </w:t>
      </w:r>
      <w:r>
        <w:t xml:space="preserve">4070 GPU; CPU timings use a single thread of an AMD Ryzen 7 7700. Both networks use tanh</w:t>
      </w:r>
      <w:r>
        <w:t xml:space="preserve"> </w:t>
      </w:r>
      <w:r>
        <w:t xml:space="preserve">activations: the branch has three hidden layers of width 512 and outputs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basis</w:t>
      </w:r>
      <w:r>
        <w:t xml:space="preserve"> </w:t>
      </w:r>
      <w:r>
        <w:t xml:space="preserve">coefficients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512</m:t>
        </m:r>
      </m:oMath>
      <w:r>
        <w:t xml:space="preserve">; the trunk has three hidden layers of width 128 on top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Fourier harmonics. We train with Adam (learning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cosine schedule,</w:t>
      </w:r>
      <w:r>
        <w:t xml:space="preserve"> </w:t>
      </w:r>
      <m:oMath>
        <m:r>
          <m:t>600</m:t>
        </m:r>
      </m:oMath>
      <w:r>
        <w:t xml:space="preserve"> </w:t>
      </w:r>
      <w:r>
        <w:t xml:space="preserve">epochs,</w:t>
      </w:r>
      <w:r>
        <w:t xml:space="preserve"> </w:t>
      </w:r>
      <w:r>
        <w:t xml:space="preserve">batch size</w:t>
      </w:r>
      <w:r>
        <w:t xml:space="preserve"> </w:t>
      </w:r>
      <m:oMath>
        <m:r>
          <m:t>128</m:t>
        </m:r>
      </m:oMath>
      <w:r>
        <w:t xml:space="preserve">). The main results (Table </w:t>
      </w:r>
      <w:hyperlink w:anchor="tab:main">
        <w:r>
          <w:rPr>
            <w:rStyle w:val="ab"/>
          </w:rPr>
          <w:t xml:space="preserve">1</w:t>
        </w:r>
      </w:hyperlink>
      <w:r>
        <w:t xml:space="preserve">) are for the seed-0 model under the</w:t>
      </w:r>
      <w:r>
        <w:t xml:space="preserve"> </w:t>
      </w:r>
      <w:r>
        <w:t xml:space="preserve">max-over-time criterion; the same script also exports the confusion matrix, and across four</w:t>
      </w:r>
      <w:r>
        <w:t xml:space="preserve"> </w:t>
      </w:r>
      <w:r>
        <w:t xml:space="preserve">training seeds the classification accuracy is 94.0%</w:t>
      </w:r>
      <m:oMath>
        <m:r>
          <m:rPr>
            <m:sty m:val="p"/>
          </m:rPr>
          <m:t>±</m:t>
        </m:r>
      </m:oMath>
      <w:r>
        <w:t xml:space="preserve">1.2% and the per-scenario mean RMSE is</w:t>
      </w:r>
      <w:r>
        <w:t xml:space="preserve"> </w:t>
      </w:r>
      <m:oMath>
        <m:sSup>
          <m:e>
            <m:r>
              <m:t>20.2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±</m:t>
        </m:r>
        <m:sSup>
          <m:e>
            <m:r>
              <m:t>1.4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so the reported values are representative. All test metrics other than</w:t>
      </w:r>
      <w:r>
        <w:t xml:space="preserve"> </w:t>
      </w:r>
      <w:r>
        <w:t xml:space="preserve">conformal coverage (RMSE, classification, CCT) are computed on the full</w:t>
      </w:r>
      <w:r>
        <w:t xml:space="preserve"> </w:t>
      </w:r>
      <m:oMath>
        <m:r>
          <m:t>960</m:t>
        </m:r>
      </m:oMath>
      <w:r>
        <w:t xml:space="preserve">-scenario held-out</w:t>
      </w:r>
      <w:r>
        <w:t xml:space="preserve"> </w:t>
      </w:r>
      <w:r>
        <w:t xml:space="preserve">set; only conformal coverage is restricted to a disjoint evaluation half</w:t>
      </w:r>
      <w:r>
        <w:t xml:space="preserve"> </w:t>
      </w:r>
      <w:r>
        <w:t xml:space="preserve">(Section </w:t>
      </w:r>
      <w:hyperlink w:anchor="sec:method">
        <w:r>
          <w:rPr>
            <w:rStyle w:val="ab"/>
          </w:rPr>
          <w:t xml:space="preserve">4</w:t>
        </w:r>
      </w:hyperlink>
      <w:r>
        <w:t xml:space="preserve">). The speedup is reported under two separate protocols on identical CPU hardware, with</w:t>
      </w:r>
      <w:r>
        <w:t xml:space="preserve"> </w:t>
      </w:r>
      <w:r>
        <w:t xml:space="preserve">single-threaded implementations, warm-up, and median/P95 statistics (details in the repository).</w:t>
      </w:r>
      <w:r>
        <w:t xml:space="preserve"> </w:t>
      </w:r>
      <w:r>
        <w:rPr>
          <w:i/>
          <w:iCs/>
        </w:rPr>
        <w:t xml:space="preserve">Throughput</w:t>
      </w:r>
      <w:r>
        <w:t xml:space="preserve">: over repeated batches of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scenarios the operator evaluates a</w:t>
      </w:r>
      <w:r>
        <w:t xml:space="preserve"> </w:t>
      </w:r>
      <m:oMath>
        <m:r>
          <m:t>401</m:t>
        </m:r>
      </m:oMath>
      <w:r>
        <w:t xml:space="preserve">-point</w:t>
      </w:r>
      <w:r>
        <w:t xml:space="preserve"> </w:t>
      </w:r>
      <w:r>
        <w:t xml:space="preserve">trajectory at 0.131 ms per scenario against 28.0 ms for the RK4 reference (</w:t>
      </w:r>
      <m:oMath>
        <m:r>
          <m:t>0.5</m:t>
        </m:r>
      </m:oMath>
      <w:r>
        <w:t xml:space="preserve"> </w:t>
      </w:r>
      <w:r>
        <w:t xml:space="preserve">ms step,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 horizon), a</w:t>
      </w:r>
      <w:r>
        <w:t xml:space="preserve"> </w:t>
      </w:r>
      <m:oMath>
        <m:r>
          <m:rPr>
            <m:sty m:val="p"/>
          </m:rPr>
          <m:t>≈</m:t>
        </m:r>
        <m:r>
          <m:t>214</m:t>
        </m:r>
        <m:r>
          <m:t>​</m:t>
        </m:r>
        <m:r>
          <m:rPr>
            <m:sty m:val="p"/>
          </m:rPr>
          <m:t>×</m:t>
        </m:r>
      </m:oMath>
      <w:r>
        <w:t xml:space="preserve"> </w:t>
      </w:r>
      <w:r>
        <w:t xml:space="preserve">gap.</w:t>
      </w:r>
      <w:r>
        <w:t xml:space="preserve"> </w:t>
      </w:r>
      <w:r>
        <w:rPr>
          <w:i/>
          <w:iCs/>
        </w:rPr>
        <w:t xml:space="preserve">End-to-end latency</w:t>
      </w:r>
      <w:r>
        <w:t xml:space="preserve">: a single fault</w:t>
      </w:r>
      <w:r>
        <w:t xml:space="preserve"> </w:t>
      </w:r>
      <w:r>
        <w:t xml:space="preserve">scenario, including the severity encoding (Kron reduction,</w:t>
      </w:r>
      <w:r>
        <w:t xml:space="preserve"> </w:t>
      </w:r>
      <m:oMath>
        <m:r>
          <m:rPr>
            <m:sty m:val="p"/>
          </m:rPr>
          <m:t>≈</m:t>
        </m:r>
        <m:r>
          <m:t>0.13</m:t>
        </m:r>
      </m:oMath>
      <w:r>
        <w:t xml:space="preserve"> </w:t>
      </w:r>
      <w:r>
        <w:t xml:space="preserve">ms per bus on the 39-bus</w:t>
      </w:r>
      <w:r>
        <w:t xml:space="preserve"> </w:t>
      </w:r>
      <w:r>
        <w:t xml:space="preserve">system) and the sequential</w:t>
      </w:r>
      <w:r>
        <w:t xml:space="preserve"> </w:t>
      </w:r>
      <m:oMath>
        <m:r>
          <m:t>16</m:t>
        </m:r>
      </m:oMath>
      <w:r>
        <w:t xml:space="preserve">-iteration CCT binary search, takes 30.6 ms versus</w:t>
      </w:r>
      <w:r>
        <w:t xml:space="preserve"> </w:t>
      </w:r>
      <w:r>
        <w:t xml:space="preserve">9735 ms for the same brute-force search with TDS, a 318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gap; a</w:t>
      </w:r>
      <w:r>
        <w:t xml:space="preserve"> </w:t>
      </w:r>
      <m:oMath>
        <m:r>
          <m:t>100</m:t>
        </m:r>
      </m:oMath>
      <w:r>
        <w:t xml:space="preserve">-point</w:t>
      </w:r>
      <w:r>
        <w:t xml:space="preserve"> </w:t>
      </w:r>
      <w:r>
        <w:t xml:space="preserve">clearing-time sweep costs 12.3 ms end-to-end versus</w:t>
      </w:r>
      <w:r>
        <w:t xml:space="preserve"> </w:t>
      </w:r>
      <m:oMath>
        <m:r>
          <m:t>2.3</m:t>
        </m:r>
      </m:oMath>
      <w:r>
        <w:t xml:space="preserve"> </w:t>
      </w:r>
      <w:r>
        <w:t xml:space="preserve">s for RK4. On the 118-bus system</w:t>
      </w:r>
      <w:r>
        <w:t xml:space="preserve"> </w:t>
      </w:r>
      <w:r>
        <w:t xml:space="preserve">the encoding (</w:t>
      </w:r>
      <m:oMath>
        <m:r>
          <m:rPr>
            <m:sty m:val="p"/>
          </m:rPr>
          <m:t>≈</m:t>
        </m:r>
        <m:r>
          <m:t>4.1</m:t>
        </m:r>
      </m:oMath>
      <w:r>
        <w:t xml:space="preserve"> </w:t>
      </w:r>
      <w:r>
        <w:t xml:space="preserve">ms per fault) dominates a single scenario. The RK4 cost scales</w:t>
      </w:r>
      <w:r>
        <w:t xml:space="preserve"> </w:t>
      </w:r>
      <w:r>
        <w:t xml:space="preserve">inversely with the reference step size, whereas the operator’s cost depends only on the number of</w:t>
      </w:r>
      <w:r>
        <w:t xml:space="preserve"> </w:t>
      </w:r>
      <w:r>
        <w:t xml:space="preserve">output time points (</w:t>
      </w:r>
      <m:oMath>
        <m:r>
          <m:t>401</m:t>
        </m:r>
      </m:oMath>
      <w:r>
        <w:t xml:space="preserve"> </w:t>
      </w:r>
      <w:r>
        <w:t xml:space="preserve">per trajectory), so the speedup grows for finer reference steps; all</w:t>
      </w:r>
      <w:r>
        <w:t xml:space="preserve"> </w:t>
      </w:r>
      <w:r>
        <w:t xml:space="preserve">timing details are in the repository (</w:t>
      </w:r>
      <w:hyperlink r:id="rId45">
        <w:r>
          <w:rPr>
            <w:rStyle w:val="ab"/>
          </w:rPr>
          <w:t xml:space="preserve">https://github.com/La0Fe1/operator-transient-stability</w:t>
        </w:r>
      </w:hyperlink>
      <w:r>
        <w:t xml:space="preserve">).</w:t>
      </w:r>
    </w:p>
    <w:bookmarkEnd w:id="46"/>
    <w:bookmarkEnd w:id="47"/>
    <w:bookmarkStart w:id="69" w:name="sec:results"/>
    <w:p>
      <w:pPr>
        <w:pStyle w:val="1"/>
      </w:pPr>
      <w:r>
        <w:t xml:space="preserve">Results</w:t>
      </w:r>
    </w:p>
    <w:bookmarkStart w:id="53" w:name="trajectory-prediction-and-classification"/>
    <w:p>
      <w:pPr>
        <w:pStyle w:val="2"/>
      </w:pPr>
      <w:r>
        <w:t xml:space="preserve">Trajectory prediction and classification</w:t>
      </w:r>
    </w:p>
    <w:p>
      <w:pPr>
        <w:pStyle w:val="FirstParagraph"/>
      </w:pPr>
      <w:r>
        <w:t xml:space="preserve">Table </w:t>
      </w:r>
      <w:hyperlink w:anchor="tab:main">
        <w:r>
          <w:rPr>
            <w:rStyle w:val="ab"/>
          </w:rPr>
          <w:t xml:space="preserve">1</w:t>
        </w:r>
      </w:hyperlink>
      <w:r>
        <w:t xml:space="preserve"> </w:t>
      </w:r>
      <w:r>
        <w:t xml:space="preserve">summarizes the main results. The physics-informed operator predicts the</w:t>
      </w:r>
      <w:r>
        <w:t xml:space="preserve"> </w:t>
      </w:r>
      <w:r>
        <w:t xml:space="preserve">fault-on segment of the trajectory to 2.3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pooled RMSE and the post-fault segment</w:t>
      </w:r>
      <w:r>
        <w:t xml:space="preserve"> </w:t>
      </w:r>
      <w:r>
        <w:t xml:space="preserve">to 36.9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(full-horizon 36.3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); the post-fault error is concentrated</w:t>
      </w:r>
      <w:r>
        <w:t xml:space="preserve"> </w:t>
      </w:r>
      <w:r>
        <w:t xml:space="preserve">near the stability boundary—the sensitivity the conformal band is designed to capture—with</w:t>
      </w:r>
      <w:r>
        <w:t xml:space="preserve"> </w:t>
      </w:r>
      <m:oMath>
        <m:sSup>
          <m:e>
            <m:r>
              <m:t>10.5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 the first-swing window and</w:t>
      </w:r>
      <w:r>
        <w:t xml:space="preserve"> </w:t>
      </w:r>
      <m:oMath>
        <m:sSup>
          <m:e>
            <m:r>
              <m:t>41.8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 the subsequent oscillation. The</w:t>
      </w:r>
      <w:r>
        <w:t xml:space="preserve"> </w:t>
      </w:r>
      <w:r>
        <w:t xml:space="preserve">operator classifies stability under the max-over-time</w:t>
      </w:r>
      <w:r>
        <w:t xml:space="preserve"> </w:t>
      </w:r>
      <m:oMath>
        <m:r>
          <m:t>π</m:t>
        </m:r>
      </m:oMath>
      <w:r>
        <w:t xml:space="preserve">-separation criterion with 95.4%</w:t>
      </w:r>
      <w:r>
        <w:t xml:space="preserve"> </w:t>
      </w:r>
      <w:r>
        <w:t xml:space="preserve">accuracy and confusion matrix (TP, FP, FN, TN)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318, 6, 38, 598 (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 stable class</w:t>
      </w:r>
      <w:r>
        <w:t xml:space="preserve"> </w:t>
      </w:r>
      <w:r>
        <w:t xml:space="preserve">0.935), and estimates the CCT to within 25.2 ms on average (max</w:t>
      </w:r>
      <w:r>
        <w:t xml:space="preserve"> </w:t>
      </w:r>
      <m:oMath>
        <m:r>
          <m:t>204.9</m:t>
        </m:r>
      </m:oMath>
      <w:r>
        <w:t xml:space="preserve"> </w:t>
      </w:r>
      <w:r>
        <w:t xml:space="preserve">ms on bus 12), at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≈</m:t>
        </m:r>
        <m:r>
          <m:t>214</m:t>
        </m:r>
        <m:r>
          <m:t>​</m:t>
        </m:r>
        <m:r>
          <m:rPr>
            <m:sty m:val="p"/>
          </m:rPr>
          <m:t>×</m:t>
        </m:r>
      </m:oMath>
      <w:r>
        <w:t xml:space="preserve"> </w:t>
      </w:r>
      <w:r>
        <w:t xml:space="preserve">throughput speedup over the RK4 reference.</w:t>
      </w:r>
    </w:p>
    <w:p>
      <w:pPr>
        <w:pStyle w:val="BodyText"/>
      </w:pPr>
      <w:r>
        <w:t xml:space="preserve">For reference, the transient-energy-function (PEBS) approach of Athay et</w:t>
      </w:r>
      <w:r>
        <w:t xml:space="preserve"> </w:t>
      </w:r>
      <w:r>
        <w:t xml:space="preserve">al. </w:t>
      </w:r>
      <w:r>
        <w:t xml:space="preserve">[21]</w:t>
      </w:r>
      <w:r>
        <w:t xml:space="preserve"> </w:t>
      </w:r>
      <w:r>
        <w:t xml:space="preserve">with the conductance path-integral terms attains a mean CCT error</w:t>
      </w:r>
      <w:r>
        <w:t xml:space="preserve"> </w:t>
      </w:r>
      <w:r>
        <w:t xml:space="preserve">of</w:t>
      </w:r>
      <w:r>
        <w:t xml:space="preserve"> </w:t>
      </w:r>
      <m:oMath>
        <m:r>
          <m:t>18.7</m:t>
        </m:r>
      </m:oMath>
      <w:r>
        <w:t xml:space="preserve"> </w:t>
      </w:r>
      <w:r>
        <w:t xml:space="preserve">ms with a conservative bias, and an IMEAC-style individual-machine</w:t>
      </w:r>
      <w:r>
        <w:t xml:space="preserve"> </w:t>
      </w:r>
      <w:r>
        <w:t xml:space="preserve">criterion </w:t>
      </w:r>
      <w:r>
        <w:t xml:space="preserve">[22]</w:t>
      </w:r>
      <w:r>
        <w:t xml:space="preserve"> </w:t>
      </w:r>
      <w:r>
        <w:t xml:space="preserve">yields</w:t>
      </w:r>
      <w:r>
        <w:t xml:space="preserve"> </w:t>
      </w:r>
      <m:oMath>
        <m:r>
          <m:t>9.6</m:t>
        </m:r>
      </m:oMath>
      <w:r>
        <w:t xml:space="preserve"> </w:t>
      </w:r>
      <w:r>
        <w:t xml:space="preserve">ms. The operator’s 25.2 ms mean absolute</w:t>
      </w:r>
      <w:r>
        <w:t xml:space="preserve"> </w:t>
      </w:r>
      <w:r>
        <w:t xml:space="preserve">error is larger than both and carries a conservative bias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21</m:t>
        </m:r>
      </m:oMath>
      <w:r>
        <w:t xml:space="preserve"> </w:t>
      </w:r>
      <w:r>
        <w:t xml:space="preserve">ms), dominated by bus 12 (reference CCT</w:t>
      </w:r>
      <w:r>
        <w:t xml:space="preserve"> </w:t>
      </w:r>
      <m:oMath>
        <m:r>
          <m:t>453</m:t>
        </m:r>
      </m:oMath>
      <w:r>
        <w:t xml:space="preserve"> </w:t>
      </w:r>
      <w:r>
        <w:t xml:space="preserve">ms, estimated</w:t>
      </w:r>
      <w:r>
        <w:t xml:space="preserve"> </w:t>
      </w:r>
      <m:oMath>
        <m:r>
          <m:t>248</m:t>
        </m:r>
      </m:oMath>
      <w:r>
        <w:t xml:space="preserve"> </w:t>
      </w:r>
      <w:r>
        <w:t xml:space="preserve">ms), where the binary</w:t>
      </w:r>
      <w:r>
        <w:t xml:space="preserve"> </w:t>
      </w:r>
      <w:r>
        <w:t xml:space="preserve">search lands between multiple local stable-to-unstable crossings of the operator’s criterion.</w:t>
      </w:r>
      <w:r>
        <w:t xml:space="preserve"> </w:t>
      </w:r>
      <w:r>
        <w:t xml:space="preserve">Classical direct methods remain the more accurate CCT estimators; the operator’s value is that it</w:t>
      </w:r>
      <w:r>
        <w:t xml:space="preserve"> </w:t>
      </w:r>
      <w:r>
        <w:t xml:space="preserve">additionally returns the full trajectory and a conformal band without any fault-on or post-fault</w:t>
      </w:r>
      <w:r>
        <w:t xml:space="preserve"> </w:t>
      </w:r>
      <w:r>
        <w:t xml:space="preserve">integration. Fig. </w:t>
      </w:r>
      <w:hyperlink w:anchor="fig:trajectory">
        <w:r>
          <w:rPr>
            <w:rStyle w:val="ab"/>
          </w:rPr>
          <w:t xml:space="preserve">2</w:t>
        </w:r>
      </w:hyperlink>
      <w:r>
        <w:t xml:space="preserve"> </w:t>
      </w:r>
      <w:r>
        <w:t xml:space="preserve">shows predicted versus true COI trajectories for a</w:t>
      </w:r>
      <w:r>
        <w:t xml:space="preserve"> </w:t>
      </w:r>
      <w:r>
        <w:t xml:space="preserve">representative near-boundary scenario.</w:t>
      </w:r>
    </w:p>
    <w:bookmarkStart w:id="48" w:name="tab:main"/>
    <w:p>
      <w:pPr>
        <w:pStyle w:val="TableCaption"/>
        <w:jc w:val="center"/>
      </w:pPr>
      <w:r>
        <w:rPr>
          <w:b/>
        </w:rPr>
        <w:t>TABLE I</w:t>
      </w:r>
    </w:p>
    <w:p>
      <w:pPr>
        <w:pStyle w:val="TableCaption"/>
        <w:jc w:val="center"/>
      </w:pPr>
      <w:r>
        <w:rPr>
          <w:i/>
        </w:rPr>
        <w:t xml:space="preserve">Main results on the IEEE 39-bus system.</w:t>
      </w:r>
    </w:p>
    <w:tbl>
      <w:tblPr>
        <w:tblStyle w:val="Table"/>
        <w:tblW w:type="dxa" w:w="4896"/>
        <w:tblLook w:firstRow="1" w:lastRow="0" w:firstColumn="0" w:lastColumn="0" w:noHBand="0" w:noVBand="0" w:val="0020"/>
        <w:tblCaption w:val="Main results on the IEEE 39-bus system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Stable trajectory RMSE (fault-on region)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2.3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Stable trajectory RMSE (post-fault region)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36.9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Stability classification accuracy (max-over-time)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95.4%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precision / recall /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0.981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m:oMath>
              <m:r>
                <m:t>0.893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0.935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CCT error (mean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sz w:val="18"/>
              </w:rPr>
              <w:t xml:space="preserve">err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max)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25.2 /</w:t>
            </w:r>
            <w:r>
              <w:rPr>
                <w:sz w:val="18"/>
              </w:rPr>
              <w:t xml:space="preserve"> </w:t>
            </w:r>
            <m:oMath>
              <m:r>
                <m:t>204.9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Conformal band half-width (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110.1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Conformal empirical coverage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0.882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m:oMath>
              <m:r>
                <m:t>157</m:t>
              </m:r>
              <m:r>
                <m:rPr>
                  <m:sty m:val="p"/>
                </m:rPr>
                <m:t>/</m:t>
              </m:r>
              <m:r>
                <m:t>178</m:t>
              </m:r>
            </m:oMath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Pairwise bound (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w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148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Speedup vs. RK4 (CPU, throughput)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214</m:t>
              </m:r>
              <m:r>
                <m:t>​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​</w:t>
            </w:r>
          </w:p>
        </w:tc>
      </w:tr>
    </w:tbl>
    <w:bookmarkEnd w:id="48"/>
    <w:bookmarkStart w:id="52" w:name="fig:trajectory"/>
    <w:p>
      <w:pPr>
        <w:pStyle w:val="CaptionedFigure"/>
      </w:pPr>
      <w:r>
        <w:drawing>
          <wp:inline>
            <wp:extent cx="3108960" cy="207264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_trajector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07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t>Fig. 2.  </w:t>
      </w:r>
      <w:pPr>
        <w:pStyle w:val="ImageCaption"/>
      </w:pPr>
      <w:r>
        <w:t xml:space="preserve">Predicted (dashed) versus true (solid) COI rotor-angle trajectories for the two most</w:t>
      </w:r>
      <w:r>
        <w:t xml:space="preserve"> </w:t>
      </w:r>
      <w:r>
        <w:t xml:space="preserve">affected machines in a representative near-boundary stable scenario (fault bus 11,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0.1700</m:t>
        </m:r>
        <m:r>
          <m:t>​</m:t>
        </m:r>
      </m:oMath>
      <w:r>
        <w:t xml:space="preserve"> </w:t>
      </w:r>
      <w:r>
        <w:t xml:space="preserve">s); the shaded band is the first-swing conformal band (</w:t>
      </w:r>
      <m:oMath>
        <m:r>
          <m:t>70.8</m:t>
        </m:r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). The fault-on segment (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marked) is reproduced accurately, while the</w:t>
      </w:r>
      <w:r>
        <w:t xml:space="preserve"> </w:t>
      </w:r>
      <w:r>
        <w:t xml:space="preserve">post-fault oscillation carries the bulk of the error. The first-swing window is defined by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trajectory (an offline diagnostic); the per-machine band does not by itself certify</w:t>
      </w:r>
      <w:r>
        <w:t xml:space="preserve"> </w:t>
      </w:r>
      <w:r>
        <w:t xml:space="preserve">the pairwise stability criterion.</w:t>
      </w:r>
    </w:p>
    <w:bookmarkEnd w:id="52"/>
    <w:bookmarkEnd w:id="53"/>
    <w:bookmarkStart w:id="55" w:name="effect-of-the-physics-informed-encoding"/>
    <w:p>
      <w:pPr>
        <w:pStyle w:val="2"/>
      </w:pPr>
      <w:r>
        <w:t xml:space="preserve">Effect of the physics-informed encoding</w:t>
      </w:r>
    </w:p>
    <w:p>
      <w:pPr>
        <w:pStyle w:val="FirstParagraph"/>
      </w:pPr>
      <w:r>
        <w:t xml:space="preserve">Table </w:t>
      </w:r>
      <w:hyperlink w:anchor="tab:ablation">
        <w:r>
          <w:rPr>
            <w:rStyle w:val="ab"/>
          </w:rPr>
          <w:t xml:space="preserve">2</w:t>
        </w:r>
      </w:hyperlink>
      <w:r>
        <w:t xml:space="preserve"> </w:t>
      </w:r>
      <w:r>
        <w:t xml:space="preserve">reports the ablation on the fault encoding. Replacing the</w:t>
      </w:r>
      <w:r>
        <w:t xml:space="preserve"> </w:t>
      </w:r>
      <w:r>
        <w:t xml:space="preserve">physics-informed acceleration vector with a one-hot bus index degrades the stable-trajectory</w:t>
      </w:r>
      <w:r>
        <w:t xml:space="preserve"> </w:t>
      </w:r>
      <w:r>
        <w:t xml:space="preserve">RMSE from 36.3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141.4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 the classification accuracy from 95.4% to</w:t>
      </w:r>
      <w:r>
        <w:t xml:space="preserve"> </w:t>
      </w:r>
      <m:oMath>
        <m:r>
          <m:t>88.0</m:t>
        </m:r>
        <m:r>
          <m:rPr>
            <m:sty m:val="p"/>
          </m:rPr>
          <m:t>%</m:t>
        </m:r>
      </m:oMath>
      <w:r>
        <w:t xml:space="preserve">, because a one-hot encoding provides no signal for unseen fault buses; the one-hot</w:t>
      </w:r>
      <w:r>
        <w:t xml:space="preserve"> </w:t>
      </w:r>
      <w:r>
        <w:t xml:space="preserve">baseline also overfits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512</m:t>
        </m:r>
      </m:oMath>
      <w:r>
        <w:t xml:space="preserve">—its RMSE exceeds the 110.1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attained by a</w:t>
      </w:r>
      <w:r>
        <w:t xml:space="preserve"> </w:t>
      </w:r>
      <w:r>
        <w:t xml:space="preserve">uniformly random predictor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on the same stable test trajectories, an</w:t>
      </w:r>
      <w:r>
        <w:t xml:space="preserve"> </w:t>
      </w:r>
      <w:r>
        <w:t xml:space="preserve">actual baseline computed on the test set—and reducing its capacity does not recover meaningful</w:t>
      </w:r>
      <w:r>
        <w:t xml:space="preserve"> </w:t>
      </w:r>
      <w:r>
        <w:t xml:space="preserve">generalization. The physics-informed encoding is therefore the mechanism enabling generalization</w:t>
      </w:r>
      <w:r>
        <w:t xml:space="preserve"> </w:t>
      </w:r>
      <w:r>
        <w:t xml:space="preserve">across fault locations.</w:t>
      </w:r>
    </w:p>
    <w:p>
      <w:pPr>
        <w:pStyle w:val="BodyText"/>
      </w:pPr>
      <w:r>
        <w:t xml:space="preserve">A GCN classifier operating on raw node features (voltage magnitudes and angles, loads, and a</w:t>
      </w:r>
      <w:r>
        <w:t xml:space="preserve"> </w:t>
      </w:r>
      <w:r>
        <w:t xml:space="preserve">fault flag) achieves only</w:t>
      </w:r>
      <w:r>
        <w:t xml:space="preserve"> </w:t>
      </w:r>
      <m:oMath>
        <m:r>
          <m:t>76.0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 versus 95.4% for the severity-encoded operator;</w:t>
      </w:r>
      <w:r>
        <w:t xml:space="preserve"> </w:t>
      </w:r>
      <w:r>
        <w:t xml:space="preserve">a stronger graph baseline with three residual layers and concatenated mean/max/sum pooling attains</w:t>
      </w:r>
      <w:r>
        <w:t xml:space="preserve"> </w:t>
      </w:r>
      <m:oMath>
        <m:r>
          <m:t>77.3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3.9</m:t>
        </m:r>
        <m:r>
          <m:rPr>
            <m:sty m:val="p"/>
          </m:rPr>
          <m:t>%</m:t>
        </m:r>
      </m:oMath>
      <w:r>
        <w:t xml:space="preserve"> </w:t>
      </w:r>
      <w:r>
        <w:t xml:space="preserve">(five seeds), so the gap is not an artifact of a weak graph architecture, and a</w:t>
      </w:r>
      <w:r>
        <w:t xml:space="preserve"> </w:t>
      </w:r>
      <w:r>
        <w:t xml:space="preserve">GCN regressing the CCT from the same raw features attains a mean CCT error of</w:t>
      </w:r>
      <w:r>
        <w:t xml:space="preserve"> </w:t>
      </w:r>
      <m:oMath>
        <m:r>
          <m:t>48.0</m:t>
        </m:r>
      </m:oMath>
      <w:r>
        <w:t xml:space="preserve"> </w:t>
      </w:r>
      <w:r>
        <w:t xml:space="preserve">ms (max</w:t>
      </w:r>
      <w:r>
        <w:t xml:space="preserve"> </w:t>
      </w:r>
      <m:oMath>
        <m:r>
          <m:t>224.4</m:t>
        </m:r>
      </m:oMath>
      <w:r>
        <w:t xml:space="preserve"> </w:t>
      </w:r>
      <w:r>
        <w:t xml:space="preserve">ms) versus 25.2 ms (max</w:t>
      </w:r>
      <w:r>
        <w:t xml:space="preserve"> </w:t>
      </w:r>
      <m:oMath>
        <m:r>
          <m:t>204.9</m:t>
        </m:r>
      </m:oMath>
      <w:r>
        <w:t xml:space="preserve"> </w:t>
      </w:r>
      <w:r>
        <w:t xml:space="preserve">ms). These comparisons are not</w:t>
      </w:r>
      <w:r>
        <w:t xml:space="preserve"> </w:t>
      </w:r>
      <w:r>
        <w:t xml:space="preserve">architecture-controlled (the GCNs output a label or a scalar, the operator a trajectory), but</w:t>
      </w:r>
      <w:r>
        <w:t xml:space="preserve"> </w:t>
      </w:r>
      <w:r>
        <w:t xml:space="preserve">they show the severity encoding carries more information than raw observables. A</w:t>
      </w:r>
      <w:r>
        <w:t xml:space="preserve"> </w:t>
      </w:r>
      <w:r>
        <w:rPr>
          <w:i/>
          <w:iCs/>
        </w:rPr>
        <w:t xml:space="preserve">severity-MLP</w:t>
      </w:r>
      <w:r>
        <w:t xml:space="preserve"> </w:t>
      </w:r>
      <w:r>
        <w:t xml:space="preserve">receiving exactly the same encoding attains 93.0% accuracy and 47.0 ms mean CCT</w:t>
      </w:r>
      <w:r>
        <w:t xml:space="preserve"> </w:t>
      </w:r>
      <w:r>
        <w:t xml:space="preserve">error (Table </w:t>
      </w:r>
      <w:hyperlink w:anchor="tab:ablation">
        <w:r>
          <w:rPr>
            <w:rStyle w:val="ab"/>
          </w:rPr>
          <w:t xml:space="preserve">2</w:t>
        </w:r>
      </w:hyperlink>
      <w:r>
        <w:t xml:space="preserve">): the encoding, not the DeepONet architecture, is the dominant</w:t>
      </w:r>
      <w:r>
        <w:t xml:space="preserve"> </w:t>
      </w:r>
      <w:r>
        <w:t xml:space="preserve">factor for generalization to unseen fault locations. A recurrent (GRU) sequence-to-sequence</w:t>
      </w:r>
      <w:r>
        <w:t xml:space="preserve"> </w:t>
      </w:r>
      <w:r>
        <w:t xml:space="preserve">baseline mapping the same encoding through a sequential decoder attains</w:t>
      </w:r>
      <w:r>
        <w:t xml:space="preserve"> </w:t>
      </w:r>
      <m:oMath>
        <m:sSup>
          <m:e>
            <m:r>
              <m:t>57.3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RMSE and</w:t>
      </w:r>
      <w:r>
        <w:t xml:space="preserve"> </w:t>
      </w:r>
      <m:oMath>
        <m:r>
          <m:t>93.9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accuracy, worse than the operator’s 36.3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 the low-rank operator structure</w:t>
      </w:r>
      <w:r>
        <w:t xml:space="preserve"> </w:t>
      </w:r>
      <w:r>
        <w:t xml:space="preserve">outperforms a generic recurrent decoder.</w:t>
      </w:r>
    </w:p>
    <w:bookmarkStart w:id="54" w:name="tab:ablation"/>
    <w:p>
      <w:pPr>
        <w:pStyle w:val="TableCaption"/>
        <w:jc w:val="center"/>
      </w:pPr>
      <m:oMath>
        <m:r>
          <m:t>12</m:t>
        </m:r>
      </m:oMath>
      <m:oMath>
        <m:r>
          <m:rPr>
            <m:sty m:val="p"/>
          </m:rPr>
          <m:t>−</m:t>
        </m:r>
      </m:oMath>
      <w:r>
        <w:rPr>
          <w:b/>
        </w:rPr>
        <w:t>TABLE II</w:t>
      </w:r>
    </w:p>
    <w:p>
      <w:pPr>
        <w:pStyle w:val="TableCaption"/>
        <w:jc w:val="center"/>
      </w:pPr>
      <w:r>
        <w:rPr>
          <w:i/>
        </w:rPr>
        <w:t xml:space="preserve">Comparison of variants and baselines on the IEEE 39-bus system (</w:t>
      </w:r>
      <m:oMath>
        <m:r>
          <m:t>12</m:t>
        </m:r>
      </m:oMath>
      <w:r>
        <w:rPr>
          <w:i/>
        </w:rPr>
        <w:t xml:space="preserve"> </w:t>
      </w:r>
      <w:r>
        <w:rPr>
          <w:i/>
        </w:rPr>
        <w:t xml:space="preserve">held-out fault</w:t>
      </w:r>
      <w:r>
        <w:rPr>
          <w:i/>
        </w:rPr>
        <w:t xml:space="preserve"> </w:t>
      </w:r>
      <w:r>
        <w:rPr>
          <w:i/>
        </w:rPr>
        <w:t xml:space="preserve">buses, seed 0). RMSE is the pooled stable-trajectory RMSE;</w:t>
      </w:r>
      <w:r>
        <w:rPr>
          <w:i/>
        </w:rPr>
        <w:t xml:space="preserve"> </w:t>
      </w:r>
      <w:r>
        <w:rPr>
          <w:i/>
        </w:rPr>
        <w:t xml:space="preserve">“</w:t>
      </w:r>
      <m:oMath>
        <m:r>
          <m:rPr>
            <m:sty m:val="p"/>
          </m:rPr>
          <m:t>−</m:t>
        </m:r>
      </m:oMath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marks a metric the variant does</w:t>
      </w:r>
      <w:r>
        <w:rPr>
          <w:i/>
        </w:rPr>
        <w:t xml:space="preserve"> </w:t>
      </w:r>
      <w:r>
        <w:rPr>
          <w:i/>
        </w:rPr>
        <w:t xml:space="preserve">not produce. The pointwise MLP and GRU are evaluated under the same criterion, conformal</w:t>
      </w:r>
      <w:r>
        <w:rPr>
          <w:i/>
        </w:rPr>
        <w:t xml:space="preserve"> </w:t>
      </w:r>
      <w:r>
        <w:rPr>
          <w:i/>
        </w:rPr>
        <w:t xml:space="preserve">calibration, and CCT search as the operator.</w:t>
      </w:r>
    </w:p>
    <w:tbl>
      <w:tblPr>
        <w:tblStyle w:val="Table"/>
        <w:tblW w:type="dxa" w:w="4896"/>
        <w:tblLook w:firstRow="1" w:lastRow="0" w:firstColumn="0" w:lastColumn="0" w:noHBand="0" w:noVBand="0" w:val="0020"/>
        <w:tblCaption w:val="Comparison of variants and baselines on the IEEE 39-bus system (12 held-out fault buses, seed 0). RMSE is the pooled stable-trajectory RMSE; “-” marks a metric the variant does not produce. The pointwise MLP and GRU are evaluated under the same criterion, conformal calibration, and CCT search as the operato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Variant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Acc.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CCT err.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DeepONet, physics encoding (proposed)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36.3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95.4%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25.2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DeepONet, one-hot encoding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141.4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88.0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DeepONet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physics-residual loss (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0.001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39.2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95.6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DeepONet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physics-residual loss (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76.5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89.9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Pointwise MLP baseline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43.1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96.9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20.7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GRU sequence baseline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57.3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93.9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33.5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Severity-MLP classifier (same encoding)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93.0%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Severity-MLP CCT regressor (same encoding)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47.0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GCN classifier (raw features)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76.0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GCN CCT regressor (raw features)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48.0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ms</w:t>
            </w:r>
          </w:p>
        </w:tc>
      </w:tr>
    </w:tbl>
    <w:bookmarkEnd w:id="54"/>
    <w:bookmarkEnd w:id="55"/>
    <w:bookmarkStart w:id="57" w:name="generalization-to-n-1-and-n-2-topologies"/>
    <w:p>
      <w:pPr>
        <w:pStyle w:val="2"/>
      </w:pPr>
      <w:r>
        <w:t xml:space="preserve">Generalization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topologies</w:t>
      </w:r>
    </w:p>
    <w:p>
      <w:pPr>
        <w:pStyle w:val="FirstParagraph"/>
      </w:pPr>
      <w:r>
        <w:t xml:space="preserve">We train a single operator (</w:t>
      </w:r>
      <m:oMath>
        <m:r>
          <m:t>p</m:t>
        </m:r>
        <m:r>
          <m:rPr>
            <m:sty m:val="p"/>
          </m:rPr>
          <m:t>=</m:t>
        </m:r>
        <m:r>
          <m:t>512</m:t>
        </m:r>
      </m:oMath>
      <w:r>
        <w:t xml:space="preserve">) on a mix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scenarios (</w:t>
      </w:r>
      <m:oMath>
        <m:r>
          <m:t>9990</m:t>
        </m:r>
      </m:oMath>
      <w:r>
        <w:t xml:space="preserve"> </w:t>
      </w:r>
      <w:r>
        <w:t xml:space="preserve">scenarios, line trips drawn from</w:t>
      </w:r>
      <w:r>
        <w:t xml:space="preserve"> </w:t>
      </w:r>
      <m:oMath>
        <m:r>
          <m:t>25</m:t>
        </m:r>
      </m:oMath>
      <w:r>
        <w:t xml:space="preserve"> </w:t>
      </w:r>
      <w:r>
        <w:t xml:space="preserve">training lines) using the extended encoding of</w:t>
      </w:r>
      <w:r>
        <w:t xml:space="preserve"> </w:t>
      </w:r>
      <w:r>
        <w:t xml:space="preserve">Section </w:t>
      </w:r>
      <w:hyperlink w:anchor="sec:method">
        <w:r>
          <w:rPr>
            <w:rStyle w:val="ab"/>
          </w:rPr>
          <w:t xml:space="preserve">4</w:t>
        </w:r>
      </w:hyperlink>
      <w:r>
        <w:t xml:space="preserve">, and evaluate on two held-out axes:</w:t>
      </w:r>
      <w:r>
        <w:t xml:space="preserve"> </w:t>
      </w:r>
      <w:r>
        <w:t xml:space="preserve">unseen fault buses and unseen trip lines (</w:t>
      </w:r>
      <m:oMath>
        <m:r>
          <m:t>10</m:t>
        </m:r>
      </m:oMath>
      <w:r>
        <w:t xml:space="preserve"> </w:t>
      </w:r>
      <w:r>
        <w:t xml:space="preserve">lines). On held-out line trips the operator</w:t>
      </w:r>
      <w:r>
        <w:t xml:space="preserve"> </w:t>
      </w:r>
      <w:r>
        <w:t xml:space="preserve">achieves</w:t>
      </w:r>
      <w:r>
        <w:t xml:space="preserve"> </w:t>
      </w:r>
      <m:oMath>
        <m:sSup>
          <m:e>
            <m:r>
              <m:t>33.6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stable-trajectory RMSE and</w:t>
      </w:r>
      <w:r>
        <w:t xml:space="preserve"> </w:t>
      </w:r>
      <m:oMath>
        <m:r>
          <m:t>95.9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accuracy, demonstrating that the</w:t>
      </w:r>
      <w:r>
        <w:t xml:space="preserve"> </w:t>
      </w:r>
      <w:r>
        <w:t xml:space="preserve">post-fault severity encoding lets the operator generalize to topologies never seen in training;</w:t>
      </w:r>
      <w:r>
        <w:t xml:space="preserve"> </w:t>
      </w:r>
      <w:r>
        <w:t xml:space="preserve">on held-out fault buses the RMSE is</w:t>
      </w:r>
      <w:r>
        <w:t xml:space="preserve"> </w:t>
      </w:r>
      <m:oMath>
        <m:sSup>
          <m:e>
            <m:r>
              <m:t>64.3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 the accuracy</w:t>
      </w:r>
      <w:r>
        <w:t xml:space="preserve"> </w:t>
      </w:r>
      <m:oMath>
        <m:r>
          <m:t>93.5</m:t>
        </m:r>
        <m:r>
          <m:rPr>
            <m:sty m:val="p"/>
          </m:rPr>
          <m:t>%</m:t>
        </m:r>
      </m:oMath>
      <w:r>
        <w:t xml:space="preserve"> </w:t>
      </w:r>
      <w:r>
        <w:t xml:space="preserve">(Table </w:t>
      </w:r>
      <w:hyperlink w:anchor="tab:n1">
        <w:r>
          <w:rPr>
            <w:rStyle w:val="ab"/>
          </w:rPr>
          <w:t xml:space="preserve">3</w:t>
        </w:r>
      </w:hyperlink>
      <w:r>
        <w:t xml:space="preserve">),</w:t>
      </w:r>
      <w:r>
        <w:t xml:space="preserve"> </w:t>
      </w:r>
      <w:r>
        <w:t xml:space="preserve">reflecting the harder combined task. The same encoding extends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contingencies with no</w:t>
      </w:r>
      <w:r>
        <w:t xml:space="preserve"> </w:t>
      </w:r>
      <w:r>
        <w:t xml:space="preserve">architecture change: on held-out line pairs the operator attains</w:t>
      </w:r>
      <w:r>
        <w:t xml:space="preserve"> </w:t>
      </w:r>
      <m:oMath>
        <m:sSup>
          <m:e>
            <m:r>
              <m:t>43.4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RMSE and</w:t>
      </w:r>
      <w:r>
        <w:t xml:space="preserve"> </w:t>
      </w:r>
      <m:oMath>
        <m:r>
          <m:t>92.9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accuracy, because the post-fault severity vector is simply evaluated from the admittance matrix</w:t>
      </w:r>
      <w:r>
        <w:t xml:space="preserve"> </w:t>
      </w:r>
      <w:r>
        <w:t xml:space="preserve">with both lines removed. The multi-topology operator also estimates the CCT on held-out</w:t>
      </w:r>
      <w:r>
        <w:t xml:space="preserve"> </w:t>
      </w:r>
      <w:r>
        <w:t xml:space="preserve">combinations:</w:t>
      </w:r>
      <w:r>
        <w:t xml:space="preserve"> </w:t>
      </w:r>
      <m:oMath>
        <m:r>
          <m:t>19.4</m:t>
        </m:r>
      </m:oMath>
      <w:r>
        <w:t xml:space="preserve"> </w:t>
      </w:r>
      <w:r>
        <w:t xml:space="preserve">ms mean absolute error on unseen trip lines,</w:t>
      </w:r>
      <w:r>
        <w:t xml:space="preserve"> </w:t>
      </w:r>
      <m:oMath>
        <m:r>
          <m:t>31.9</m:t>
        </m:r>
      </m:oMath>
      <w:r>
        <w:t xml:space="preserve"> </w:t>
      </w:r>
      <w:r>
        <w:t xml:space="preserve">ms on held-out fault</w:t>
      </w:r>
      <w:r>
        <w:t xml:space="preserve"> </w:t>
      </w:r>
      <w:r>
        <w:t xml:space="preserve">buses, and 18.7 ms on held-out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line pairs (sampled); split-conformal coverage on</w:t>
      </w:r>
      <w:r>
        <w:t xml:space="preserve"> </w:t>
      </w:r>
      <w:r>
        <w:t xml:space="preserve">these splits is reported in 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.</w:t>
      </w:r>
    </w:p>
    <w:bookmarkStart w:id="56" w:name="tab:n1"/>
    <w:p>
      <w:pPr>
        <w:pStyle w:val="TableCaption"/>
        <w:jc w:val="center"/>
      </w:pPr>
      <m:oMath>
        <m:r>
          <m:t>N</m:t>
        </m:r>
        <m:r>
          <m:rPr>
            <m:sty m:val="p"/>
          </m:rPr>
          <m:t>−</m:t>
        </m:r>
        <m:r>
          <m:t>0</m:t>
        </m:r>
      </m:oMath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</w:rPr>
        <w:t>TABLE III</w:t>
      </w:r>
    </w:p>
    <w:p>
      <w:pPr>
        <w:pStyle w:val="TableCaption"/>
        <w:jc w:val="center"/>
      </w:pPr>
      <w:r>
        <w:rPr>
          <w:i/>
        </w:rPr>
        <w:t xml:space="preserve">Generalization of the multi-topology operator (</w:t>
      </w:r>
      <m:oMath>
        <m:r>
          <m:t>N</m:t>
        </m:r>
        <m:r>
          <m:rPr>
            <m:sty m:val="p"/>
          </m:rPr>
          <m:t>−</m:t>
        </m:r>
        <m:r>
          <m:t>0</m:t>
        </m:r>
      </m:oMath>
      <w:r>
        <w:rPr>
          <w:i/>
        </w:rPr>
        <w:t xml:space="preserve"> </w:t>
      </w:r>
      <w:r>
        <w:rPr>
          <w:i/>
        </w:rPr>
        <w:t xml:space="preserve">+</w:t>
      </w:r>
      <w:r>
        <w:rPr>
          <w:i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/>
        </w:rPr>
        <w:t xml:space="preserve"> </w:t>
      </w:r>
      <w:r>
        <w:rPr>
          <w:i/>
        </w:rPr>
        <w:t xml:space="preserve">training): pooled</w:t>
      </w:r>
      <w:r>
        <w:rPr>
          <w:i/>
        </w:rPr>
        <w:t xml:space="preserve"> </w:t>
      </w:r>
      <w:r>
        <w:rPr>
          <w:i/>
        </w:rPr>
        <w:t xml:space="preserve">stable-trajectory RMSE, classification accuracy, and CCT error (mean over held-out</w:t>
      </w:r>
      <w:r>
        <w:rPr>
          <w:i/>
        </w:rPr>
        <w:t xml:space="preserve"> </w:t>
      </w:r>
      <w:r>
        <w:rPr>
          <w:i/>
        </w:rPr>
        <w:t xml:space="preserve">bus–line combinations).</w:t>
      </w:r>
    </w:p>
    <w:tbl>
      <w:tblPr>
        <w:tblStyle w:val="Table"/>
        <w:tblW w:type="dxa" w:w="4896"/>
        <w:tblLook w:firstRow="1" w:lastRow="0" w:firstColumn="0" w:lastColumn="0" w:noHBand="0" w:noVBand="0" w:val="0020"/>
        <w:tblCaption w:val="Generalization of the multi-topology operator (N{-}0 + N{-}1 training): pooled stable-trajectory RMSE, classification accuracy, and CCT error (mean over held-out bus–line combination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Held-out split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Acc.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CCT err.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Trip lines (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z w:val="18"/>
              </w:rPr>
              <w:t xml:space="preserve">, unseen)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33.6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95.9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19.4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Fault buses (mixed</w:t>
            </w:r>
            <w:r>
              <w:rPr>
                <w:sz w:val="18"/>
              </w:rPr>
              <w:t xml:space="preserve"> </w:t>
            </w:r>
            <m:oMath>
              <m:r>
                <m:t>N</m:t>
              </m:r>
            </m:oMath>
            <w:r>
              <w:rPr>
                <w:sz w:val="18"/>
              </w:rPr>
              <w:t xml:space="preserve">-0/</w:t>
            </w:r>
            <m:oMath>
              <m:r>
                <m:t>N</m:t>
              </m:r>
            </m:oMath>
            <w:r>
              <w:rPr>
                <w:sz w:val="18"/>
              </w:rPr>
              <w:t xml:space="preserve">-1)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64.3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93.5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31.9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Line pairs (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sz w:val="18"/>
              </w:rPr>
              <w:t xml:space="preserve">, unseen)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43.4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92.9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18.7 ms</w:t>
            </w:r>
          </w:p>
        </w:tc>
      </w:tr>
    </w:tbl>
    <w:bookmarkEnd w:id="56"/>
    <w:bookmarkEnd w:id="57"/>
    <w:bookmarkStart w:id="58" w:name="sec:sampleeff"/>
    <w:p>
      <w:pPr>
        <w:pStyle w:val="2"/>
      </w:pPr>
      <w:r>
        <w:t xml:space="preserve">Sample efficiency of the operator</w:t>
      </w:r>
    </w:p>
    <w:p>
      <w:pPr>
        <w:pStyle w:val="FirstParagraph"/>
      </w:pPr>
      <w:r>
        <w:t xml:space="preserve">A motivation for the operator architecture is its low-rank inductive bias. Training the DeepONet</w:t>
      </w:r>
      <w:r>
        <w:t xml:space="preserve"> </w:t>
      </w:r>
      <w:r>
        <w:t xml:space="preserve">and the pointwise MLP baseline on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,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training scenarios</w:t>
      </w:r>
      <w:r>
        <w:t xml:space="preserve"> </w:t>
      </w:r>
      <w:r>
        <w:t xml:space="preserve">(three seeds each), the operator attains</w:t>
      </w:r>
      <w:r>
        <w:t xml:space="preserve"> </w:t>
      </w:r>
      <m:oMath>
        <m:sSup>
          <m:e>
            <m:r>
              <m:t>56.1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RMSE versus</w:t>
      </w:r>
      <w:r>
        <w:t xml:space="preserve"> </w:t>
      </w:r>
      <m:oMath>
        <m:sSup>
          <m:e>
            <m:r>
              <m:t>65.2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for the MLP at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data (a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advantage),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</m:oMath>
      <w:r>
        <w:t xml:space="preserve">–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/</w:t>
      </w:r>
      <m:oMath>
        <m:r>
          <m:t>100</m:t>
        </m:r>
        <m:r>
          <m:rPr>
            <m:sty m:val="p"/>
          </m:rPr>
          <m:t>%</m:t>
        </m:r>
      </m:oMath>
      <w:r>
        <w:t xml:space="preserve">. The low-rank structure therefore confers a modest</w:t>
      </w:r>
      <w:r>
        <w:t xml:space="preserve"> </w:t>
      </w:r>
      <w:r>
        <w:t xml:space="preserve">sample-efficiency advantage in the low-data regime; with three seeds per fraction and a</w:t>
      </w:r>
      <w:r>
        <w:t xml:space="preserve"> </w:t>
      </w:r>
      <m:oMath>
        <m:sSup>
          <m:e>
            <m:r>
              <m:t>14.0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across-seed spread at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data, the advantage is indicative rather than</w:t>
      </w:r>
      <w:r>
        <w:t xml:space="preserve"> </w:t>
      </w:r>
      <w:r>
        <w:t xml:space="preserve">statistically established. These numbers use the base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architecture (Table </w:t>
      </w:r>
      <w:hyperlink w:anchor="tab:ablation">
        <w:r>
          <w:rPr>
            <w:rStyle w:val="ab"/>
          </w:rPr>
          <w:t xml:space="preserve">2</w:t>
        </w:r>
      </w:hyperlink>
      <w:r>
        <w:t xml:space="preserve"> </w:t>
      </w:r>
      <w:r>
        <w:t xml:space="preserve">reports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512</m:t>
        </m:r>
      </m:oMath>
      <w:r>
        <w:t xml:space="preserve">), which explains the different full-data values.</w:t>
      </w:r>
    </w:p>
    <w:bookmarkEnd w:id="58"/>
    <w:bookmarkStart w:id="59" w:name="X0a9ef59dfb70406a2925c088521dc01717254a5"/>
    <w:p>
      <w:pPr>
        <w:pStyle w:val="2"/>
      </w:pPr>
      <w:r>
        <w:t xml:space="preserve">Extensions to higher-fidelity generator models and damping</w:t>
      </w:r>
    </w:p>
    <w:p>
      <w:pPr>
        <w:pStyle w:val="FirstParagraph"/>
      </w:pPr>
      <w:r>
        <w:t xml:space="preserve">To verify that the approach carries over to more realistic generator representations, we retrain</w:t>
      </w:r>
      <w:r>
        <w:t xml:space="preserve"> </w:t>
      </w:r>
      <w:r>
        <w:t xml:space="preserve">the operator—architecture, encoding, and protocol unchanged, with the same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held-out fault</w:t>
      </w:r>
      <w:r>
        <w:t xml:space="preserve"> </w:t>
      </w:r>
      <w:r>
        <w:t xml:space="preserve">buses—on data from higher-fidelity simulators, so only the ground-truth trajectories change.</w:t>
      </w:r>
      <w:r>
        <w:t xml:space="preserve"> </w:t>
      </w:r>
      <w:r>
        <w:t xml:space="preserve">On the one-axis (flux-decay) model (a third-order per-machine model </w:t>
      </w:r>
      <w:r>
        <w:t xml:space="preserve">[1]</w:t>
      </w:r>
      <w:r>
        <w:t xml:space="preserve">,</w:t>
      </w:r>
      <w:r>
        <w:t xml:space="preserve"> </w:t>
      </w:r>
      <w:r>
        <w:t xml:space="preserve">Ch. 8) the retrained operator attains</w:t>
      </w:r>
      <w:r>
        <w:t xml:space="preserve"> </w:t>
      </w:r>
      <m:oMath>
        <m:sSup>
          <m:e>
            <m:r>
              <m:t>38.6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pooled stable-trajectory RMSE (</w:t>
      </w:r>
      <m:oMath>
        <m:sSup>
          <m:e>
            <m:r>
              <m:t>1.8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fault-on,</w:t>
      </w:r>
      <w:r>
        <w:t xml:space="preserve"> </w:t>
      </w:r>
      <m:oMath>
        <m:sSup>
          <m:e>
            <m:r>
              <m:t>39.2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post-fault),</w:t>
      </w:r>
      <w:r>
        <w:t xml:space="preserve"> </w:t>
      </w:r>
      <m:oMath>
        <m:r>
          <m:t>94.0</m:t>
        </m:r>
        <m:r>
          <m:rPr>
            <m:sty m:val="p"/>
          </m:rPr>
          <m:t>%</m:t>
        </m:r>
      </m:oMath>
      <w:r>
        <w:t xml:space="preserve"> </w:t>
      </w:r>
      <w:r>
        <w:t xml:space="preserve">classification accuracy, a mean CCT error of</w:t>
      </w:r>
      <w:r>
        <w:t xml:space="preserve"> </w:t>
      </w:r>
      <m:oMath>
        <m:r>
          <m:t>23.3</m:t>
        </m:r>
      </m:oMath>
      <w:r>
        <w:t xml:space="preserve"> </w:t>
      </w:r>
      <w:r>
        <w:t xml:space="preserve">ms, and a conformal band of</w:t>
      </w:r>
      <w:r>
        <w:t xml:space="preserve"> </w:t>
      </w:r>
      <m:oMath>
        <m:sSup>
          <m:e>
            <m:r>
              <m:t>121.3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half-width with</w:t>
      </w:r>
      <w:r>
        <w:t xml:space="preserve"> </w:t>
      </w:r>
      <m:oMath>
        <m:r>
          <m:t>0.903</m:t>
        </m:r>
      </m:oMath>
      <w:r>
        <w:t xml:space="preserve"> </w:t>
      </w:r>
      <w:r>
        <w:t xml:space="preserve">coverage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). Adding a first-order automatic voltage regulator (a simplified IEEE DC1A</w:t>
      </w:r>
      <w:r>
        <w:t xml:space="preserve"> </w:t>
      </w:r>
      <w:r>
        <w:t xml:space="preserve">exciter 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s and rate limits) yields a fourth-order model on which the</w:t>
      </w:r>
      <w:r>
        <w:t xml:space="preserve"> </w:t>
      </w:r>
      <w:r>
        <w:t xml:space="preserve">operator attains</w:t>
      </w:r>
      <w:r>
        <w:t xml:space="preserve"> </w:t>
      </w:r>
      <m:oMath>
        <m:sSup>
          <m:e>
            <m:r>
              <m:t>25.4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pooled RMSE (</w:t>
      </w:r>
      <m:oMath>
        <m:sSup>
          <m:e>
            <m:r>
              <m:t>2.2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fault-on,</w:t>
      </w:r>
      <w:r>
        <w:t xml:space="preserve"> </w:t>
      </w:r>
      <m:oMath>
        <m:sSup>
          <m:e>
            <m:r>
              <m:t>25.5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post-fault),</w:t>
      </w:r>
      <w:r>
        <w:t xml:space="preserve"> </w:t>
      </w:r>
      <m:oMath>
        <m:r>
          <m:t>94.0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accuracy, and conformal coverage</w:t>
      </w:r>
      <w:r>
        <w:t xml:space="preserve"> </w:t>
      </w:r>
      <m:oMath>
        <m:r>
          <m:t>0.896</m:t>
        </m:r>
      </m:oMath>
      <w:r>
        <w:t xml:space="preserve"> </w:t>
      </w:r>
      <w:r>
        <w:t xml:space="preserve">with half-width</w:t>
      </w:r>
      <w:r>
        <w:t xml:space="preserve"> </w:t>
      </w:r>
      <m:oMath>
        <m:sSup>
          <m:e>
            <m:r>
              <m:t>127.7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—the lowest</w:t>
      </w:r>
      <w:r>
        <w:t xml:space="preserve"> </w:t>
      </w:r>
      <w:r>
        <w:t xml:space="preserve">absolute RMSE of the three generator models, largely because voltage regulation smooths the</w:t>
      </w:r>
      <w:r>
        <w:t xml:space="preserve"> </w:t>
      </w:r>
      <w:r>
        <w:t xml:space="preserve">post-fault oscillation.</w:t>
      </w:r>
    </w:p>
    <w:p>
      <w:pPr>
        <w:pStyle w:val="BodyText"/>
      </w:pPr>
      <w:r>
        <w:t xml:space="preserve">Adding uniform damping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leaves the severity encoding unchanged—it is evaluated at the</w:t>
      </w:r>
      <w:r>
        <w:t xml:space="preserve"> </w:t>
      </w:r>
      <w:r>
        <w:t xml:space="preserve">pre-fault equilibrium, where the damping term vanishes—so the same architecture is retrained on</w:t>
      </w:r>
      <w:r>
        <w:t xml:space="preserve"> </w:t>
      </w:r>
      <w:r>
        <w:t xml:space="preserve">damped data. The fault-on region improves to</w:t>
      </w:r>
      <w:r>
        <w:t xml:space="preserve"> </w:t>
      </w:r>
      <m:oMath>
        <m:sSup>
          <m:e>
            <m:r>
              <m:t>1.8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pooled RMSE, but the post-fault RMSE</w:t>
      </w:r>
      <w:r>
        <w:t xml:space="preserve"> </w:t>
      </w:r>
      <w:r>
        <w:t xml:space="preserve">rises to</w:t>
      </w:r>
      <w:r>
        <w:t xml:space="preserve"> </w:t>
      </w:r>
      <m:oMath>
        <m:sSup>
          <m:e>
            <m:r>
              <m:t>46.4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(versus 36.9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undamped) and classification drops to</w:t>
      </w:r>
      <w:r>
        <w:t xml:space="preserve"> </w:t>
      </w:r>
      <m:oMath>
        <m:r>
          <m:t>93.4</m:t>
        </m:r>
        <m:r>
          <m:rPr>
            <m:sty m:val="p"/>
          </m:rPr>
          <m:t>%</m:t>
        </m:r>
      </m:oMath>
      <w:r>
        <w:t xml:space="preserve"> </w:t>
      </w:r>
      <w:r>
        <w:t xml:space="preserve">(CCT error</w:t>
      </w:r>
      <w:r>
        <w:t xml:space="preserve"> </w:t>
      </w:r>
      <m:oMath>
        <m:r>
          <m:t>30.8</m:t>
        </m:r>
      </m:oMath>
      <w:r>
        <w:t xml:space="preserve"> </w:t>
      </w:r>
      <w:r>
        <w:t xml:space="preserve">ms): near-boundary damped trajectories decay slowly, so small errors in the</w:t>
      </w:r>
      <w:r>
        <w:t xml:space="preserve"> </w:t>
      </w:r>
      <w:r>
        <w:t xml:space="preserve">predicted decay rate accumulate over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 window (maximum worst-case error</w:t>
      </w:r>
      <w:r>
        <w:t xml:space="preserve"> </w:t>
      </w:r>
      <m:oMath>
        <m:sSup>
          <m:e>
            <m:r>
              <m:t>638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 The</w:t>
      </w:r>
      <w:r>
        <w:t xml:space="preserve"> </w:t>
      </w:r>
      <w:r>
        <w:t xml:space="preserve">split-conformal band remains approximately valid (mean coverage</w:t>
      </w:r>
      <w:r>
        <w:t xml:space="preserve"> </w:t>
      </w:r>
      <m:oMath>
        <m:r>
          <m:t>0.90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over five</w:t>
      </w:r>
      <w:r>
        <w:t xml:space="preserve"> </w:t>
      </w:r>
      <w:r>
        <w:t xml:space="preserve">calibration splits); damping does not simplify the near-boundary prediction task.</w:t>
      </w:r>
    </w:p>
    <w:bookmarkEnd w:id="59"/>
    <w:bookmarkStart w:id="64" w:name="conformal-bands"/>
    <w:p>
      <w:pPr>
        <w:pStyle w:val="2"/>
      </w:pPr>
      <w:r>
        <w:t xml:space="preserve">Conformal bands</w:t>
      </w:r>
    </w:p>
    <w:p>
      <w:pPr>
        <w:pStyle w:val="FirstParagraph"/>
      </w:pPr>
      <w:r>
        <w:t xml:space="preserve">The split-conformal band achieves empirical coverage close to nominal at every level on the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178</m:t>
        </m:r>
      </m:oMath>
      <w:r>
        <w:t xml:space="preserve"> </w:t>
      </w:r>
      <w:r>
        <w:t xml:space="preserve">evaluation scenarios:</w:t>
      </w:r>
      <w:r>
        <w:t xml:space="preserve"> </w:t>
      </w:r>
      <m:oMath>
        <m:r>
          <m:t>91.6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163</m:t>
        </m:r>
        <m:r>
          <m:rPr>
            <m:sty m:val="p"/>
          </m:rPr>
          <m:t>/</m:t>
        </m:r>
        <m:r>
          <m:t>178</m:t>
        </m:r>
      </m:oMath>
      <w:r>
        <w:t xml:space="preserve">) at the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target,</w:t>
      </w:r>
      <w:r>
        <w:t xml:space="preserve"> </w:t>
      </w:r>
      <m:oMath>
        <m:r>
          <m:t>88.2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157</m:t>
        </m:r>
        <m:r>
          <m:rPr>
            <m:sty m:val="p"/>
          </m:rPr>
          <m:t>/</m:t>
        </m:r>
        <m:r>
          <m:t>178</m:t>
        </m:r>
      </m:oMath>
      <w:r>
        <w:t xml:space="preserve">, CI</w:t>
      </w:r>
      <w:r>
        <w:t xml:space="preserve"> </w:t>
      </w:r>
      <m:oMath>
        <m:r>
          <m:t>83</m:t>
        </m:r>
      </m:oMath>
      <w:r>
        <w:t xml:space="preserve">–</w:t>
      </w:r>
      <m:oMath>
        <m:r>
          <m:t>93</m:t>
        </m:r>
        <m:r>
          <m:rPr>
            <m:sty m:val="p"/>
          </m:rPr>
          <m:t>%</m:t>
        </m:r>
      </m:oMath>
      <w:r>
        <w:t xml:space="preserve">) at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67.4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120</m:t>
        </m:r>
        <m:r>
          <m:rPr>
            <m:sty m:val="p"/>
          </m:rPr>
          <m:t>/</m:t>
        </m:r>
        <m:r>
          <m:t>178</m:t>
        </m:r>
      </m:oMath>
      <w:r>
        <w:t xml:space="preserve">) at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t xml:space="preserve">, and</w:t>
      </w:r>
      <w:r>
        <w:t xml:space="preserve"> </w:t>
      </w:r>
      <m:oMath>
        <m:r>
          <m:t>43.8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78</m:t>
        </m:r>
        <m:r>
          <m:rPr>
            <m:sty m:val="p"/>
          </m:rPr>
          <m:t>/</m:t>
        </m:r>
        <m:r>
          <m:t>178</m:t>
        </m:r>
      </m:oMath>
      <w:r>
        <w:t xml:space="preserve">) at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(Fig. </w:t>
      </w:r>
      <w:hyperlink w:anchor="fig:conformal">
        <w:r>
          <w:rPr>
            <w:rStyle w:val="ab"/>
          </w:rPr>
          <w:t xml:space="preserve">3</w:t>
        </w:r>
      </w:hyperlink>
      <w:r>
        <w:t xml:space="preserve">); the same calibration on the multi-topology</w:t>
      </w:r>
      <w:r>
        <w:t xml:space="preserve"> </w:t>
      </w:r>
      <w:r>
        <w:t xml:space="preserve">operators yields coverage of</w:t>
      </w:r>
      <w:r>
        <w:t xml:space="preserve"> </w:t>
      </w:r>
      <m:oMath>
        <m:r>
          <m:t>0.915</m:t>
        </m:r>
      </m:oMath>
      <w:r>
        <w:t xml:space="preserve"> </w:t>
      </w:r>
      <w:r>
        <w:t xml:space="preserve">on both held-out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splits and</w:t>
      </w:r>
      <w:r>
        <w:t xml:space="preserve"> </w:t>
      </w:r>
      <m:oMath>
        <m:r>
          <m:t>0.872</m:t>
        </m:r>
      </m:oMath>
      <w:r>
        <w:t xml:space="preserve">/</w:t>
      </w:r>
      <m:oMath>
        <m:r>
          <m:t>0.852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buses and line pairs (half-widths</w:t>
      </w:r>
      <w:r>
        <w:t xml:space="preserve"> </w:t>
      </w:r>
      <m:oMath>
        <m:r>
          <m:t>121</m:t>
        </m:r>
      </m:oMath>
      <w:r>
        <w:t xml:space="preserve">–</w:t>
      </w:r>
      <m:oMath>
        <m:sSup>
          <m:e>
            <m:r>
              <m:t>181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 A Mondrian (grouped)</w:t>
      </w:r>
      <w:r>
        <w:t xml:space="preserve"> </w:t>
      </w:r>
      <w:r>
        <w:t xml:space="preserve">calibration </w:t>
      </w:r>
      <w:r>
        <w:t xml:space="preserve">[23]</w:t>
      </w:r>
      <w:r>
        <w:t xml:space="preserve"> </w:t>
      </w:r>
      <w:r>
        <w:t xml:space="preserve">by the post-fault peak of the pairwise</w:t>
      </w:r>
      <w:r>
        <w:t xml:space="preserve"> </w:t>
      </w:r>
      <w:r>
        <w:t xml:space="preserve">spread—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t</m:t>
            </m:r>
            <m:r>
              <m:rPr>
                <m:sty m:val="p"/>
              </m:rPr>
              <m:t>≥</m:t>
            </m:r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i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min</m:t>
                </m:r>
              </m:e>
              <m:sub>
                <m:r>
                  <m:t>i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trajectory, an offline diagnostic because the grouping uses ground-truth labels—shows,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 that the half-width grows toward the stability boundary, from</w:t>
      </w:r>
      <w:r>
        <w:t xml:space="preserve"> </w:t>
      </w:r>
      <w:r>
        <w:t xml:space="preserve">76.1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for scenarios peaking below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(group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51</m:t>
        </m:r>
      </m:oMath>
      <w:r>
        <w:t xml:space="preserve"> </w:t>
      </w:r>
      <w:r>
        <w:t xml:space="preserve">calibration/evaluation,</w:t>
      </w:r>
      <w:r>
        <w:t xml:space="preserve"> </w:t>
      </w:r>
      <w:r>
        <w:t xml:space="preserve">coverage</w:t>
      </w:r>
      <w:r>
        <w:t xml:space="preserve"> </w:t>
      </w:r>
      <m:oMath>
        <m:r>
          <m:t>0.863</m:t>
        </m:r>
      </m:oMath>
      <w:r>
        <w:t xml:space="preserve">), through</w:t>
      </w:r>
      <w:r>
        <w:t xml:space="preserve"> </w:t>
      </w:r>
      <m:oMath>
        <m:sSup>
          <m:e>
            <m:r>
              <m:t>94.2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45</m:t>
        </m:r>
      </m:oMath>
      <w:r>
        <w:t xml:space="preserve">–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t>44</m:t>
        </m:r>
        <m:r>
          <m:rPr>
            <m:sty m:val="p"/>
          </m:rPr>
          <m:t>/</m:t>
        </m:r>
        <m:r>
          <m:t>52</m:t>
        </m:r>
      </m:oMath>
      <w:r>
        <w:t xml:space="preserve">,</w:t>
      </w:r>
      <w:r>
        <w:t xml:space="preserve"> </w:t>
      </w:r>
      <m:oMath>
        <m:r>
          <m:t>0.923</m:t>
        </m:r>
      </m:oMath>
      <w:r>
        <w:t xml:space="preserve">), to</w:t>
      </w:r>
      <w:r>
        <w:t xml:space="preserve"> </w:t>
      </w:r>
      <w:r>
        <w:t xml:space="preserve">124.6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above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t>86</m:t>
        </m:r>
        <m:r>
          <m:rPr>
            <m:sty m:val="p"/>
          </m:rPr>
          <m:t>/</m:t>
        </m:r>
        <m:r>
          <m:t>75</m:t>
        </m:r>
      </m:oMath>
      <w:r>
        <w:t xml:space="preserve">,</w:t>
      </w:r>
      <w:r>
        <w:t xml:space="preserve"> </w:t>
      </w:r>
      <m:oMath>
        <m:r>
          <m:t>0.800</m:t>
        </m:r>
      </m:oMath>
      <w:r>
        <w:t xml:space="preserve">): coverage is approximately nominal away from</w:t>
      </w:r>
      <w:r>
        <w:t xml:space="preserve"> </w:t>
      </w:r>
      <w:r>
        <w:t xml:space="preserve">the boundary and below nominal near it. The band is wide precisely where the stability decision</w:t>
      </w:r>
      <w:r>
        <w:t xml:space="preserve"> </w:t>
      </w:r>
      <w:r>
        <w:t xml:space="preserve">is most critical; it is a conservative screening envelope, not a tight predictive interval.</w:t>
      </w:r>
    </w:p>
    <w:p>
      <w:pPr>
        <w:pStyle w:val="BodyText"/>
      </w:pPr>
      <w:r>
        <w:t xml:space="preserve">The directly calibrated pairwise-difference score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bounds the pairwise angle</w:t>
      </w:r>
      <w:r>
        <w:t xml:space="preserve"> </w:t>
      </w:r>
      <w:r>
        <w:t xml:space="preserve">difference—the exact quantity in the stability criterion—to 148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(coverage 0.893), below the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threshold. Making a decision from this</w:t>
      </w:r>
      <w:r>
        <w:t xml:space="preserve"> </w:t>
      </w:r>
      <w:r>
        <w:t xml:space="preserve">bound still requires the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spread to satisfy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&lt;</m:t>
        </m:r>
        <m:r>
          <m:t>π</m:t>
        </m:r>
      </m:oMath>
      <w:r>
        <w:t xml:space="preserve">; on the evaluation half this rule resolves</w:t>
      </w:r>
      <w:r>
        <w:t xml:space="preserve"> </w:t>
      </w:r>
      <w:r>
        <w:t xml:space="preserve">0% of the predicted-stable scenarios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(rising to</w:t>
      </w:r>
      <w:r>
        <w:t xml:space="preserve"> </w:t>
      </w:r>
      <m:oMath>
        <m:r>
          <m:t>31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67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tightens from</w:t>
      </w:r>
      <w:r>
        <w:t xml:space="preserve"> </w:t>
      </w:r>
      <m:oMath>
        <m:sSup>
          <m:e>
            <m:r>
              <m:t>90.5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53.3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 the empirical wrong-release rate of the predicted-stable gate is 1.8%</w:t>
      </w:r>
      <w:r>
        <w:t xml:space="preserve"> </w:t>
      </w:r>
      <w:r>
        <w:t xml:space="preserve">(</w:t>
      </w:r>
      <m:oMath>
        <m:r>
          <m:t>2</m:t>
        </m:r>
        <m:r>
          <m:t>​</m:t>
        </m:r>
      </m:oMath>
      <w:r>
        <w:t xml:space="preserve"> </w:t>
      </w:r>
      <w:r>
        <w:t xml:space="preserve">of 109), so any deployment must retain a TDS fallback for the unresolved</w:t>
      </w:r>
      <w:r>
        <w:t xml:space="preserve"> </w:t>
      </w:r>
      <w:r>
        <w:t xml:space="preserve">fraction. Per-machine calibration with Bonferroni/Šidák corrections does not tighten the</w:t>
      </w:r>
      <w:r>
        <w:t xml:space="preserve"> </w:t>
      </w:r>
      <w:r>
        <w:t xml:space="preserve">bound (pairwise</w:t>
      </w:r>
      <w:r>
        <w:t xml:space="preserve"> </w:t>
      </w:r>
      <m:oMath>
        <m:sSup>
          <m:e>
            <m:r>
              <m:t>734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 calibrating on the validation set instead of held-out scenarios</w:t>
      </w:r>
      <w:r>
        <w:t xml:space="preserve"> </w:t>
      </w:r>
      <w:r>
        <w:t xml:space="preserve">yields only</w:t>
      </w:r>
      <w:r>
        <w:t xml:space="preserve"> </w:t>
      </w:r>
      <m:oMath>
        <m:r>
          <m:t>0.61</m:t>
        </m:r>
      </m:oMath>
      <w:r>
        <w:t xml:space="preserve"> </w:t>
      </w:r>
      <w:r>
        <w:t xml:space="preserve">coverage at the nominal</w:t>
      </w:r>
      <w:r>
        <w:t xml:space="preserve"> </w:t>
      </w:r>
      <m:oMath>
        <m:r>
          <m:t>0.90</m:t>
        </m:r>
      </m:oMath>
      <w:r>
        <w:t xml:space="preserve"> </w:t>
      </w:r>
      <w:r>
        <w:t xml:space="preserve">target: the held-out-bus distribution is</w:t>
      </w:r>
      <w:r>
        <w:t xml:space="preserve"> </w:t>
      </w:r>
      <w:r>
        <w:t xml:space="preserve">genuinely harder, so calibrating on held-out scenarios is necessary rather than a leakage</w:t>
      </w:r>
      <w:r>
        <w:t xml:space="preserve"> </w:t>
      </w:r>
      <w:r>
        <w:t xml:space="preserve">concern. The calibration does not transfer across operating points (the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0</m:t>
        </m:r>
      </m:oMath>
      <w:r>
        <w:t xml:space="preserve">-calibrated interval covers only</w:t>
      </w:r>
      <w:r>
        <w:t xml:space="preserve"> </w:t>
      </w:r>
      <m:oMath>
        <m:r>
          <m:t>0.51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stable</w:t>
      </w:r>
      <w:r>
        <w:t xml:space="preserve"> </w:t>
      </w:r>
      <m:oMath>
        <m:r>
          <m:t>0.8</m:t>
        </m:r>
      </m:oMath>
      <w:r>
        <w:t xml:space="preserve">-load scenarios and</w:t>
      </w:r>
      <w:r>
        <w:t xml:space="preserve"> </w:t>
      </w:r>
      <m:oMath>
        <m:r>
          <m:t>0.72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load), consistent with the operating-point</w:t>
      </w:r>
      <w:r>
        <w:t xml:space="preserve"> </w:t>
      </w:r>
      <w:r>
        <w:t xml:space="preserve">limitation of Section </w:t>
      </w:r>
      <w:hyperlink w:anchor="sec:discussion">
        <w:r>
          <w:rPr>
            <w:rStyle w:val="ab"/>
          </w:rPr>
          <w:t xml:space="preserve">7</w:t>
        </w:r>
      </w:hyperlink>
      <w:r>
        <w:t xml:space="preserve">. In the gated regime (band applied only after a</w:t>
      </w:r>
      <w:r>
        <w:t xml:space="preserve"> </w:t>
      </w:r>
      <w:r>
        <w:t xml:space="preserve">predicted-stable decision, evaluated on the disjoint half): gate purity 96.6%, coverage</w:t>
      </w:r>
      <w:r>
        <w:t xml:space="preserve"> </w:t>
      </w:r>
      <w:r>
        <w:t xml:space="preserve">over predicted-stable scenarios 0.914, and oracle-conditioned coverage 0.946</w:t>
      </w:r>
      <w:r>
        <w:t xml:space="preserve"> </w:t>
      </w:r>
      <w:r>
        <w:t xml:space="preserve">(56 scenarios; the last conditions on ground-truth labels and is not a deployment</w:t>
      </w:r>
      <w:r>
        <w:t xml:space="preserve"> </w:t>
      </w:r>
      <w:r>
        <w:t xml:space="preserve">guarantee, since conditioning on the prediction breaks exchangeability). Alternative scores</w:t>
      </w:r>
      <w:r>
        <w:t xml:space="preserve"> </w:t>
      </w:r>
      <w:r>
        <w:t xml:space="preserve">(amplitude-normalized</w:t>
      </w:r>
      <w:r>
        <w:t xml:space="preserve"> </w:t>
      </w:r>
      <m:oMath>
        <m:r>
          <m:t>2.3</m:t>
        </m:r>
        <m:r>
          <m:rPr>
            <m:sty m:val="p"/>
          </m:rPr>
          <m:t>%</m:t>
        </m:r>
      </m:oMath>
      <w:r>
        <w:t xml:space="preserve">, first-swing</w:t>
      </w:r>
      <w:r>
        <w:t xml:space="preserve"> </w:t>
      </w:r>
      <m:oMath>
        <m:sSup>
          <m:e>
            <m:r>
              <m:t>70.8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time-averaged</w:t>
      </w:r>
      <w:r>
        <w:t xml:space="preserve"> </w:t>
      </w:r>
      <m:oMath>
        <m:sSup>
          <m:e>
            <m:r>
              <m:t>47.7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see the</w:t>
      </w:r>
      <w:r>
        <w:t xml:space="preserve"> </w:t>
      </w:r>
      <w:r>
        <w:t xml:space="preserve">repository), adaptive/locally adaptive conformal</w:t>
      </w:r>
      <w:r>
        <w:t xml:space="preserve"> </w:t>
      </w:r>
      <w:r>
        <w:t xml:space="preserve">methods </w:t>
      </w:r>
      <w:r>
        <w:t xml:space="preserve">[24], [25]</w:t>
      </w:r>
      <w:r>
        <w:t xml:space="preserve">, and conformalized quantile</w:t>
      </w:r>
      <w:r>
        <w:t xml:space="preserve"> </w:t>
      </w:r>
      <w:r>
        <w:t xml:space="preserve">regression </w:t>
      </w:r>
      <w:r>
        <w:t xml:space="preserve">[26]</w:t>
      </w:r>
      <w:r>
        <w:t xml:space="preserve"> </w:t>
      </w:r>
      <w:r>
        <w:t xml:space="preserve">are candidates for reducing near-boundary conservatism</w:t>
      </w:r>
      <w:r>
        <w:t xml:space="preserve"> </w:t>
      </w:r>
      <w:r>
        <w:t xml:space="preserve">and are left as future work.</w:t>
      </w:r>
    </w:p>
    <w:bookmarkStart w:id="63" w:name="fig:conformal"/>
    <w:p>
      <w:pPr>
        <w:pStyle w:val="CaptionedFigure"/>
      </w:pPr>
      <w:r>
        <w:drawing>
          <wp:inline>
            <wp:extent cx="3108960" cy="120904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_conforma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t>Fig. 3.  </w:t>
      </w:r>
      <w:pPr>
        <w:pStyle w:val="ImageCaption"/>
      </w:pPr>
      <w:r>
        <w:t xml:space="preserve">Conformal band validity and adaptivity. Left: empirical coverage (with binomial</w:t>
      </w:r>
      <w:r>
        <w:t xml:space="preserve"> </w:t>
      </w:r>
      <w:r>
        <w:t xml:space="preserve">intervals) against the target level</w:t>
      </w:r>
      <w:r>
        <w:t xml:space="preserve"> </w:t>
      </w:r>
      <m:oMath>
        <m:r>
          <m:t>α</m:t>
        </m:r>
      </m:oMath>
      <w:r>
        <w:t xml:space="preserve">. Right: offline Mondrian diagnostic—the grouping</w:t>
      </w:r>
      <w:r>
        <w:t xml:space="preserve"> </w:t>
      </w:r>
      <w:r>
        <w:t xml:space="preserve">uses the ground-truth post-fault peak of each scenario—shows the band half-width growing toward</w:t>
      </w:r>
      <w:r>
        <w:t xml:space="preserve"> </w:t>
      </w:r>
      <w:r>
        <w:t xml:space="preserve">the stability boundary; bars are annotated with group size (calibration/evaluation) and per-group</w:t>
      </w:r>
      <w:r>
        <w:t xml:space="preserve"> </w:t>
      </w:r>
      <w:r>
        <w:t xml:space="preserve">coverage.</w:t>
      </w:r>
    </w:p>
    <w:bookmarkEnd w:id="63"/>
    <w:bookmarkEnd w:id="64"/>
    <w:bookmarkStart w:id="65" w:name="X180112d207e0047e4f84f0bd773c02bb91d895b"/>
    <w:p>
      <w:pPr>
        <w:pStyle w:val="2"/>
      </w:pPr>
      <w:r>
        <w:t xml:space="preserve">The negative result: input encoding versus residual loss</w:t>
      </w:r>
    </w:p>
    <w:p>
      <w:pPr>
        <w:pStyle w:val="FirstParagraph"/>
      </w:pPr>
      <w:r>
        <w:t xml:space="preserve">The auxiliary physics-residual loss does not help in this setting: with the correctly scaled</w:t>
      </w:r>
      <w:r>
        <w:t xml:space="preserve"> </w:t>
      </w:r>
      <w:r>
        <w:t xml:space="preserve">residual of</w:t>
      </w:r>
      <w:r>
        <w:t xml:space="preserve"> </w:t>
      </w:r>
      <w:hyperlink w:anchor="eq:physloss">
        <w:r>
          <w:rPr>
            <w:rStyle w:val="ab"/>
          </w:rPr>
          <w:t xml:space="preserve">[eq:physloss]</w:t>
        </w:r>
      </w:hyperlink>
      <w:r>
        <w:t xml:space="preserve">, the pooled stable-trajectory RMSE is</w:t>
      </w:r>
      <w:r>
        <w:t xml:space="preserve"> </w:t>
      </w:r>
      <m:oMath>
        <m:sSup>
          <m:e>
            <m:r>
              <m:t>39.2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t xml:space="preserve">(versus 36.3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for the data-only operator) and</w:t>
      </w:r>
      <w:r>
        <w:t xml:space="preserve"> </w:t>
      </w:r>
      <m:oMath>
        <m:sSup>
          <m:e>
            <m:r>
              <m:t>76.5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(Table </w:t>
      </w:r>
      <w:hyperlink w:anchor="tab:ablation">
        <w:r>
          <w:rPr>
            <w:rStyle w:val="ab"/>
          </w:rPr>
          <w:t xml:space="preserve">2</w:t>
        </w:r>
      </w:hyperlink>
      <w:r>
        <w:t xml:space="preserve">)—no improvement at the mildest weight and harmful at</w:t>
      </w:r>
      <w:r>
        <w:t xml:space="preserve"> </w:t>
      </w:r>
      <w:r>
        <w:t xml:space="preserve">larger weights—and denser collocation does not help either (</w:t>
      </w:r>
      <m:oMath>
        <m:sSup>
          <m:e>
            <m:r>
              <m:t>48.9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pooled,</w:t>
      </w:r>
      <w:r>
        <w:t xml:space="preserve"> </w:t>
      </w:r>
      <m:oMath>
        <m:r>
          <m:t>92.9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accuracy). Without the correct post-fault initial condition the swing-equation residual is a weak</w:t>
      </w:r>
      <w:r>
        <w:t xml:space="preserve"> </w:t>
      </w:r>
      <w:r>
        <w:t xml:space="preserve">constraint satisfied by many trajectories, so it adds regularization without information. This conclusion is scoped to the present system, protocol, weights, and architecture.</w:t>
      </w:r>
    </w:p>
    <w:bookmarkEnd w:id="65"/>
    <w:bookmarkStart w:id="66" w:name="X66218e5f38173620984a496c7707fe8b58021fa"/>
    <w:p>
      <w:pPr>
        <w:pStyle w:val="2"/>
      </w:pPr>
      <w:r>
        <w:t xml:space="preserve">Near-boundary sensitivity and architecture ablations</w:t>
      </w:r>
    </w:p>
    <w:p>
      <w:pPr>
        <w:pStyle w:val="FirstParagraph"/>
      </w:pPr>
      <w:r>
        <w:t xml:space="preserve">Training on boundary-aware data (clearing times sampled within</w:t>
      </w:r>
      <w:r>
        <w:t xml:space="preserve"> </w:t>
      </w:r>
      <m:oMath>
        <m:r>
          <m:rPr>
            <m:sty m:val="p"/>
          </m:rPr>
          <m:t>[</m:t>
        </m:r>
        <m:r>
          <m:t>0.4</m:t>
        </m:r>
        <m:r>
          <m:rPr>
            <m:sty m:val="p"/>
          </m:rPr>
          <m:t>,</m:t>
        </m:r>
        <m:r>
          <m:t>1.2</m:t>
        </m:r>
        <m:r>
          <m:rPr>
            <m:sty m:val="p"/>
          </m:rPr>
          <m:t>]</m:t>
        </m:r>
        <m:r>
          <m:rPr>
            <m:sty m:val="p"/>
          </m:rPr>
          <m:t>×</m:t>
        </m:r>
      </m:oMath>
      <w:r>
        <w:t xml:space="preserve">CCT per fault</w:t>
      </w:r>
      <w:r>
        <w:t xml:space="preserve"> </w:t>
      </w:r>
      <w:r>
        <w:t xml:space="preserve">bus) raises the pooled post-fault RMSE from 36.9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(uniform) to</w:t>
      </w:r>
      <w:r>
        <w:t xml:space="preserve"> </w:t>
      </w:r>
      <m:oMath>
        <m:sSup>
          <m:e>
            <m:r>
              <m:t>70.8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(boundary-aware): near-boundary trajectories respond sharply to small parameter changes at the</w:t>
      </w:r>
      <w:r>
        <w:t xml:space="preserve"> </w:t>
      </w:r>
      <w:r>
        <w:t xml:space="preserve">stability bifurcation, the regime the conformal band is designed to flag (the rise can reflect</w:t>
      </w:r>
      <w:r>
        <w:t xml:space="preserve"> </w:t>
      </w:r>
      <w:r>
        <w:t xml:space="preserve">both intrinsic difficulty and the shifted sampling; we report the observation without attributing</w:t>
      </w:r>
      <w:r>
        <w:t xml:space="preserve"> </w:t>
      </w:r>
      <w:r>
        <w:t xml:space="preserve">a single cause). Stratifying the test scenarios by their distance to the TDS CCT quantifies this:</w:t>
      </w:r>
      <w:r>
        <w:t xml:space="preserve"> </w:t>
      </w:r>
      <w:r>
        <w:t xml:space="preserve">more than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ms inside the boundary the misclassification rate is</w:t>
      </w:r>
      <w:r>
        <w:t xml:space="preserve"> </w:t>
      </w:r>
      <m:oMath>
        <m:r>
          <m:t>8.8</m:t>
        </m:r>
        <m:r>
          <m:rPr>
            <m:sty m:val="p"/>
          </m:rPr>
          <m:t>%</m:t>
        </m:r>
      </m:oMath>
      <w:r>
        <w:t xml:space="preserve">; within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ms it</w:t>
      </w:r>
      <w:r>
        <w:t xml:space="preserve"> </w:t>
      </w:r>
      <w:r>
        <w:t xml:space="preserve">rises to</w:t>
      </w:r>
      <w:r>
        <w:t xml:space="preserve"> </w:t>
      </w:r>
      <m:oMath>
        <m:r>
          <m:t>20.0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); and within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ms it reaches</w:t>
      </w:r>
      <w:r>
        <w:t xml:space="preserve"> </w:t>
      </w:r>
      <m:oMath>
        <m:r>
          <m:t>46.2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 descriptive). The</w:t>
      </w:r>
      <w:r>
        <w:t xml:space="preserve"> </w:t>
      </w:r>
      <w:r>
        <w:t xml:space="preserve">sharpest decisions are the least reliable. Replacing the branch network with self-attention does</w:t>
      </w:r>
      <w:r>
        <w:t xml:space="preserve"> </w:t>
      </w:r>
      <w:r>
        <w:t xml:space="preserve">not improve accuracy (</w:t>
      </w:r>
      <m:oMath>
        <m:sSup>
          <m:e>
            <m:r>
              <m:t>116.1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RMSE,</w:t>
      </w:r>
      <w:r>
        <w:t xml:space="preserve"> </w:t>
      </w:r>
      <m:oMath>
        <m:r>
          <m:t>92.8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512</m:t>
        </m:r>
      </m:oMath>
      <w:r>
        <w:t xml:space="preserve">, versus</w:t>
      </w:r>
      <w:r>
        <w:t xml:space="preserve"> </w:t>
      </w:r>
      <w:r>
        <w:t xml:space="preserve">36.3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 95.4%), consistent with the severity encoding already capturing the</w:t>
      </w:r>
      <w:r>
        <w:t xml:space="preserve"> </w:t>
      </w:r>
      <w:r>
        <w:t xml:space="preserve">machine-interaction structure, and a Fourier-neural-operator trunk likewise gives no improvement</w:t>
      </w:r>
      <w:r>
        <w:t xml:space="preserve"> </w:t>
      </w:r>
      <w:r>
        <w:t xml:space="preserve">(</w:t>
      </w:r>
      <m:oMath>
        <m:sSup>
          <m:e>
            <m:r>
              <m:t>47.4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RMSE,</w:t>
      </w:r>
      <w:r>
        <w:t xml:space="preserve"> </w:t>
      </w:r>
      <m:oMath>
        <m:r>
          <m:t>92.6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accuracy). This supports the choice of a</w:t>
      </w:r>
      <w:r>
        <w:t xml:space="preserve"> </w:t>
      </w:r>
      <w:r>
        <w:t xml:space="preserve">simple DeepONet with a physics-informed encoding.</w:t>
      </w:r>
    </w:p>
    <w:bookmarkEnd w:id="66"/>
    <w:bookmarkStart w:id="67" w:name="robustness-to-measurement-noise"/>
    <w:p>
      <w:pPr>
        <w:pStyle w:val="2"/>
      </w:pPr>
      <w:r>
        <w:t xml:space="preserve">Robustness to measurement noise</w:t>
      </w:r>
    </w:p>
    <w:p>
      <w:pPr>
        <w:pStyle w:val="FirstParagraph"/>
      </w:pPr>
      <w:r>
        <w:t xml:space="preserve">The encoding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m</m:t>
            </m:r>
            <m:r>
              <m:t>i</m:t>
            </m:r>
          </m:sub>
        </m:sSub>
        <m:r>
          <m:rPr>
            <m:sty m:val="p"/>
          </m:rPr>
          <m:t>−</m:t>
        </m:r>
        <m:sSubSup>
          <m:e>
            <m:r>
              <m:t>P</m:t>
            </m:r>
          </m:e>
          <m:sub>
            <m:r>
              <m:t>e</m:t>
            </m:r>
            <m:r>
              <m:t>i</m:t>
            </m:r>
          </m:sub>
          <m:sup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itself computed from estimates of</w:t>
      </w:r>
      <w:r>
        <w:t xml:space="preserve"> </w:t>
      </w:r>
      <w:r>
        <w:t xml:space="preserve">mechanical power, inertia, and fault-on electrical power, which carry measurement error.</w:t>
      </w:r>
      <w:r>
        <w:t xml:space="preserve"> </w:t>
      </w:r>
      <w:r>
        <w:t xml:space="preserve">Perturbing the encoded acceleration vector with zero-mean Gaussian noise, the pooled stable RMSE</w:t>
      </w:r>
      <w:r>
        <w:t xml:space="preserve"> </w:t>
      </w:r>
      <w:r>
        <w:t xml:space="preserve">rises from 36.3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115.4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 accuracy drops from 95.4% to</w:t>
      </w:r>
      <w:r>
        <w:t xml:space="preserve"> </w:t>
      </w:r>
      <m:oMath>
        <m:r>
          <m:t>89.1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noise (</w:t>
      </w:r>
      <m:oMath>
        <m:sSup>
          <m:e>
            <m:r>
              <m:t>152.3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82.9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p>
          <m:e>
            <m:r>
              <m:t>213.6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73.0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). The operator is</w:t>
      </w:r>
      <w:r>
        <w:t xml:space="preserve"> </w:t>
      </w:r>
      <w:r>
        <w:t xml:space="preserve">therefore only moderately robust to</w:t>
      </w:r>
      <w: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noise in its input encoding; correlated or</w:t>
      </w:r>
      <w:r>
        <w:t xml:space="preserve"> </w:t>
      </w:r>
      <w:r>
        <w:t xml:space="preserve">biased parameter-estimation errors and conformal coverage under input noise remain to be tested.</w:t>
      </w:r>
    </w:p>
    <w:bookmarkEnd w:id="67"/>
    <w:bookmarkStart w:id="68" w:name="scalability-to-the-ieee-118-bus-system"/>
    <w:p>
      <w:pPr>
        <w:pStyle w:val="2"/>
      </w:pPr>
      <w:r>
        <w:t xml:space="preserve">Scalability to the IEEE 118-bus system</w:t>
      </w:r>
    </w:p>
    <w:p>
      <w:pPr>
        <w:pStyle w:val="FirstParagraph"/>
      </w:pPr>
      <w:r>
        <w:t xml:space="preserve">To probe scalability beyond a single test system, we evaluate the operator on a custom dynamic</w:t>
      </w:r>
      <w:r>
        <w:t xml:space="preserve"> </w:t>
      </w:r>
      <w:r>
        <w:t xml:space="preserve">test case built on the IEEE 118-bus static network: the</w:t>
      </w:r>
      <w:r>
        <w:t xml:space="preserve"> </w:t>
      </w:r>
      <m:oMath>
        <m:r>
          <m:t>54</m:t>
        </m:r>
      </m:oMath>
      <w:r>
        <w:t xml:space="preserve"> </w:t>
      </w:r>
      <w:r>
        <w:t xml:space="preserve">machine parameters (</w:t>
      </w:r>
      <m:oMath>
        <m:r>
          <m:t>H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)</w:t>
      </w:r>
      <w:r>
        <w:t xml:space="preserve"> </w:t>
      </w:r>
      <w:r>
        <w:t xml:space="preserve">are taken from the grouped tables of Demetriou et al. </w:t>
      </w:r>
      <w:r>
        <w:t xml:space="preserve">[27]</w:t>
      </w:r>
      <w:r>
        <w:t xml:space="preserve"> </w:t>
      </w:r>
      <w:r>
        <w:t xml:space="preserve">and assigned to</w:t>
      </w:r>
      <w:r>
        <w:t xml:space="preserve"> </w:t>
      </w:r>
      <w:r>
        <w:t xml:space="preserve">pandapower’s case118 generators by rated capacity. No per-machine bus mapping and no per-unit</w:t>
      </w:r>
      <w:r>
        <w:t xml:space="preserve"> </w:t>
      </w:r>
      <w:r>
        <w:t xml:space="preserve">base conversion are applied, so this is a synthetic dynamic case on the IEEE 118-bus network</w:t>
      </w:r>
      <w:r>
        <w:t xml:space="preserve"> </w:t>
      </w:r>
      <w:r>
        <w:t xml:space="preserve">rather than a reproduction of the Demetriou system; results on it probe scalability of the</w:t>
      </w:r>
      <w:r>
        <w:t xml:space="preserve"> </w:t>
      </w:r>
      <w:r>
        <w:rPr>
          <w:i/>
          <w:iCs/>
        </w:rPr>
        <w:t xml:space="preserve">method</w:t>
      </w:r>
      <w:r>
        <w:t xml:space="preserve">, not of any benchmark system. With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fault buses held out entirely from training</w:t>
      </w:r>
      <w:r>
        <w:t xml:space="preserve"> </w:t>
      </w:r>
      <w:r>
        <w:t xml:space="preserve">(</w:t>
      </w:r>
      <m:oMath>
        <m:r>
          <m:t>3760</m:t>
        </m:r>
      </m:oMath>
      <w:r>
        <w:t xml:space="preserve"> </w:t>
      </w:r>
      <w:r>
        <w:t xml:space="preserve">training and</w:t>
      </w:r>
      <w:r>
        <w:t xml:space="preserve"> </w:t>
      </w:r>
      <m:oMath>
        <m:r>
          <m:t>960</m:t>
        </m:r>
      </m:oMath>
      <w:r>
        <w:t xml:space="preserve"> </w:t>
      </w:r>
      <w:r>
        <w:t xml:space="preserve">test scenarios), the retrained operator attains 92.9%</w:t>
      </w:r>
      <w:r>
        <w:t xml:space="preserve"> </w:t>
      </w:r>
      <w:r>
        <w:t xml:space="preserve">classification accuracy and</w:t>
      </w:r>
      <w:r>
        <w:t xml:space="preserve"> </w:t>
      </w:r>
      <m:oMath>
        <m:sSup>
          <m:e>
            <m:r>
              <m:t>121.9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stable-trajectory RMSE. The test set is</w:t>
      </w:r>
      <w:r>
        <w:t xml:space="preserve"> </w:t>
      </w:r>
      <m:oMath>
        <m:r>
          <m:t>25.4</m:t>
        </m:r>
        <m:r>
          <m:rPr>
            <m:sty m:val="p"/>
          </m:rPr>
          <m:t>%</m:t>
        </m:r>
      </m:oMath>
      <w:r>
        <w:t xml:space="preserve"> </w:t>
      </w:r>
      <w:r>
        <w:t xml:space="preserve">stable, so a majority-class baseline would score</w:t>
      </w:r>
      <w:r>
        <w:t xml:space="preserve"> </w:t>
      </w:r>
      <m:oMath>
        <m:r>
          <m:t>74.6</m:t>
        </m:r>
        <m:r>
          <m:rPr>
            <m:sty m:val="p"/>
          </m:rPr>
          <m:t>%</m:t>
        </m:r>
      </m:oMath>
      <w:r>
        <w:t xml:space="preserve">; 92.9% therefore reflects real</w:t>
      </w:r>
      <w:r>
        <w:t xml:space="preserve"> </w:t>
      </w:r>
      <w:r>
        <w:t xml:space="preserve">discrimination, close to the 39-bus 95.4% despite</w:t>
      </w:r>
      <w:r>
        <w:t xml:space="preserve"> </w:t>
      </w:r>
      <m:oMath>
        <m:r>
          <m:t>5.4</m:t>
        </m:r>
        <m:r>
          <m:rPr>
            <m:sty m:val="p"/>
          </m:rPr>
          <m:t>×</m:t>
        </m:r>
      </m:oMath>
      <w:r>
        <w:t xml:space="preserve"> </w:t>
      </w:r>
      <w:r>
        <w:t xml:space="preserve">more generators and</w:t>
      </w:r>
      <w:r>
        <w:t xml:space="preserve"> </w:t>
      </w:r>
      <m:oMath>
        <m:r>
          <m:t>3.0</m:t>
        </m:r>
        <m:r>
          <m:rPr>
            <m:sty m:val="p"/>
          </m:rPr>
          <m:t>×</m:t>
        </m:r>
      </m:oMath>
      <w:r>
        <w:t xml:space="preserve"> </w:t>
      </w:r>
      <w:r>
        <w:t xml:space="preserve">more buses. The higher trajectory RMSE reflects the larger state space and the much lower CCTs of</w:t>
      </w:r>
      <w:r>
        <w:t xml:space="preserve"> </w:t>
      </w:r>
      <w:r>
        <w:t xml:space="preserve">the assigned 118-bus case (</w:t>
      </w:r>
      <m:oMath>
        <m:r>
          <m:t>0.008</m:t>
        </m:r>
      </m:oMath>
      <w:r>
        <w:t xml:space="preserve">–</w:t>
      </w:r>
      <m:oMath>
        <m:r>
          <m:t>0.135</m:t>
        </m:r>
      </m:oMath>
      <w:r>
        <w:t xml:space="preserve"> </w:t>
      </w:r>
      <w:r>
        <w:t xml:space="preserve">s), with a CCT error of</w:t>
      </w:r>
      <w:r>
        <w:t xml:space="preserve"> </w:t>
      </w:r>
      <m:oMath>
        <m:r>
          <m:t>13.3</m:t>
        </m:r>
      </m:oMath>
      <w:r>
        <w:t xml:space="preserve"> </w:t>
      </w:r>
      <w:r>
        <w:t xml:space="preserve">ms mean absolute (max</w:t>
      </w:r>
      <w:r>
        <w:t xml:space="preserve"> </w:t>
      </w:r>
      <m:oMath>
        <m:r>
          <m:t>54.7</m:t>
        </m:r>
      </m:oMath>
      <w:r>
        <w:t xml:space="preserve"> </w:t>
      </w:r>
      <w:r>
        <w:t xml:space="preserve">ms) on the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held-out buses. The split-conformal interval attains</w:t>
      </w:r>
      <w:r>
        <w:t xml:space="preserve"> </w:t>
      </w:r>
      <m:oMath>
        <m:r>
          <m:t>0.918</m:t>
        </m:r>
      </m:oMath>
      <w:r>
        <w:t xml:space="preserve"> </w:t>
      </w:r>
      <w:r>
        <w:t xml:space="preserve">coverage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with a half-width of</w:t>
      </w:r>
      <w:r>
        <w:t xml:space="preserve"> </w:t>
      </w:r>
      <m:oMath>
        <m:sSup>
          <m:e>
            <m:r>
              <m:t>596.4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—larger than the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stability</w:t>
      </w:r>
      <w:r>
        <w:t xml:space="preserve"> </w:t>
      </w:r>
      <w:r>
        <w:t xml:space="preserve">threshold, so on the 118-bus case the interval validates the coverage mechanism but is vacuous</w:t>
      </w:r>
      <w:r>
        <w:t xml:space="preserve"> </w:t>
      </w:r>
      <w:r>
        <w:t xml:space="preserve">for the stability decision; the directly calibrated pairwise score and richer calibration data</w:t>
      </w:r>
      <w:r>
        <w:t xml:space="preserve"> </w:t>
      </w:r>
      <w:r>
        <w:t xml:space="preserve">are required before the bound is operationally useful at this scale.</w:t>
      </w:r>
    </w:p>
    <w:bookmarkEnd w:id="68"/>
    <w:bookmarkEnd w:id="69"/>
    <w:bookmarkStart w:id="70" w:name="sec:discussion"/>
    <w:p>
      <w:pPr>
        <w:pStyle w:val="1"/>
      </w:pPr>
      <w:r>
        <w:t xml:space="preserve">Discussion and Limitations</w:t>
      </w:r>
    </w:p>
    <w:p>
      <w:pPr>
        <w:pStyle w:val="FirstParagraph"/>
      </w:pPr>
      <w:r>
        <w:t xml:space="preserve">First, the post-fault trajectory accuracy (36.9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pooled RMSE) is limited and</w:t>
      </w:r>
      <w:r>
        <w:t xml:space="preserve"> </w:t>
      </w:r>
      <w:r>
        <w:t xml:space="preserve">concentrated near the stability boundary, where the classical model response to small parameter</w:t>
      </w:r>
      <w:r>
        <w:t xml:space="preserve"> </w:t>
      </w:r>
      <w:r>
        <w:t xml:space="preserve">changes is sharpest. Second, the conformal band is calibrated on stable scenarios and covers the</w:t>
      </w:r>
      <w:r>
        <w:t xml:space="preserve"> </w:t>
      </w:r>
      <w:r>
        <w:t xml:space="preserve">finite output grid: it is a screening band for the stable subpopulation, not a stability</w:t>
      </w:r>
      <w:r>
        <w:t xml:space="preserve"> </w:t>
      </w:r>
      <w:r>
        <w:t xml:space="preserve">certificate; near-boundary and unstable scenarios are conveyed through the classification, the</w:t>
      </w:r>
      <w:r>
        <w:t xml:space="preserve"> </w:t>
      </w:r>
      <w:r>
        <w:t xml:space="preserve">wrong-release statistics of 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, and the heuristic CCT band rather than a</w:t>
      </w:r>
      <w:r>
        <w:t xml:space="preserve"> </w:t>
      </w:r>
      <w:r>
        <w:t xml:space="preserve">numeric trajectory bound, and on the 118-bus case the per-machine band is currently vacuous for</w:t>
      </w:r>
      <w:r>
        <w:t xml:space="preserve"> </w:t>
      </w:r>
      <w:r>
        <w:t xml:space="preserve">decisions. The</w:t>
      </w:r>
      <w:r>
        <w:t xml:space="preserve"> </w:t>
      </w:r>
      <m:oMath>
        <m:r>
          <m:t>π</m:t>
        </m:r>
      </m:oMath>
      <w:r>
        <w:t xml:space="preserve">-in-</w:t>
      </w:r>
      <m:oMath>
        <m:r>
          <m:t>4</m:t>
        </m:r>
      </m:oMath>
      <w:r>
        <w:t xml:space="preserve"> </w:t>
      </w:r>
      <w:r>
        <w:t xml:space="preserve">s criterion is the operational label of this study; whether the first</w:t>
      </w:r>
      <w:r>
        <w:t xml:space="preserve"> </w:t>
      </w:r>
      <w:r>
        <w:t xml:space="preserve">swing governs multi-swing instability in every scenario of richer models was not established</w:t>
      </w:r>
      <w:r>
        <w:t xml:space="preserve"> </w:t>
      </w:r>
      <w:r>
        <w:t xml:space="preserve">here. Third, governors, power-system stabilizers, and dynamic loads are not modeled; the one-axis,</w:t>
      </w:r>
      <w:r>
        <w:t xml:space="preserve"> </w:t>
      </w:r>
      <w:r>
        <w:t xml:space="preserve">exciter, and damped extensions retrain the same architecture and encoding rather than</w:t>
      </w:r>
      <w:r>
        <w:t xml:space="preserve"> </w:t>
      </w:r>
      <w:r>
        <w:t xml:space="preserve">transferring weights, although the encoding itself needs no modification. Fourth, the pointwise</w:t>
      </w:r>
      <w:r>
        <w:t xml:space="preserve"> </w:t>
      </w:r>
      <w:r>
        <w:t xml:space="preserve">MLP baseline is slightly worse than the operator on trajectory RMSE at full data</w:t>
      </w:r>
      <w:r>
        <w:t xml:space="preserve"> </w:t>
      </w:r>
      <w:r>
        <w:t xml:space="preserve">(</w:t>
      </w:r>
      <m:oMath>
        <m:sSup>
          <m:e>
            <m:r>
              <m:t>43.1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versus 36.3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pooled), and the low-data advantage is indicative rather</w:t>
      </w:r>
      <w:r>
        <w:t xml:space="preserve"> </w:t>
      </w:r>
      <w:r>
        <w:t xml:space="preserve">than established (Section </w:t>
      </w:r>
      <w:hyperlink w:anchor="sec:sampleeff">
        <w:r>
          <w:rPr>
            <w:rStyle w:val="ab"/>
          </w:rPr>
          <w:t xml:space="preserve">6.4</w:t>
        </w:r>
      </w:hyperlink>
      <w:r>
        <w:t xml:space="preserve">); under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conformal and CCT protocol</w:t>
      </w:r>
      <w:r>
        <w:t xml:space="preserve"> </w:t>
      </w:r>
      <w:r>
        <w:t xml:space="preserve">the MLP is not worse, so the operator’s remaining advantages are the lower trajectory RMSE,</w:t>
      </w:r>
      <w:r>
        <w:t xml:space="preserve"> </w:t>
      </w:r>
      <w:r>
        <w:t xml:space="preserve">continuous-time evaluation, and the low-rank structure, and certification tightness is not one of</w:t>
      </w:r>
      <w:r>
        <w:t xml:space="preserve"> </w:t>
      </w:r>
      <w:r>
        <w:t xml:space="preserve">them. Fifth, the operator is trained at a fixed operating point and does not generalize to</w:t>
      </w:r>
      <w:r>
        <w:t xml:space="preserve"> </w:t>
      </w:r>
      <w:r>
        <w:t xml:space="preserve">substantially different load levels: classification accuracy drops to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lower</w:t>
      </w:r>
      <w:r>
        <w:t xml:space="preserve"> </w:t>
      </w:r>
      <w:r>
        <w:t xml:space="preserve">load, and training across multiple load levels does not resolve this (a model trained on four</w:t>
      </w:r>
      <w:r>
        <w:t xml:space="preserve"> </w:t>
      </w:r>
      <w:r>
        <w:t xml:space="preserve">load levels attains only</w:t>
      </w:r>
      <w:r>
        <w:t xml:space="preserve"> </w:t>
      </w:r>
      <m:oMath>
        <m:r>
          <m:t>65</m:t>
        </m:r>
        <m:r>
          <m:rPr>
            <m:sty m:val="p"/>
          </m:rPr>
          <m:t>%</m:t>
        </m:r>
      </m:oMath>
      <w:r>
        <w:t xml:space="preserve"> </w:t>
      </w:r>
      <w:r>
        <w:t xml:space="preserve">on a held-out level). Deployment is therefore a screening tool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its calibrated operating domain; detecting and rejecting out-of-domain operating</w:t>
      </w:r>
      <w:r>
        <w:t xml:space="preserve"> </w:t>
      </w:r>
      <w:r>
        <w:t xml:space="preserve">points (e.g., via the encoding norm or an OOD detector) is left as required future work, and</w:t>
      </w:r>
      <w:r>
        <w:t xml:space="preserve"> </w:t>
      </w:r>
      <w:r>
        <w:t xml:space="preserve">operating-point generalization remains the binding obstacle to broader deployment. Sixth, only bolted three-phase</w:t>
      </w:r>
      <w:r>
        <w:t xml:space="preserve"> </w:t>
      </w:r>
      <w:r>
        <w:t xml:space="preserve">faults at buses are modeled; parametric fault impedance and faults along line corridors are left</w:t>
      </w:r>
      <w:r>
        <w:t xml:space="preserve"> </w:t>
      </w:r>
      <w:r>
        <w:t xml:space="preserve">to future work.</w:t>
      </w:r>
    </w:p>
    <w:bookmarkEnd w:id="70"/>
    <w:bookmarkStart w:id="71" w:name="conclusion"/>
    <w:p>
      <w:pPr>
        <w:pStyle w:val="1"/>
      </w:pPr>
      <w:r>
        <w:t xml:space="preserve">Conclusion</w:t>
      </w:r>
    </w:p>
    <w:p>
      <w:pPr>
        <w:pStyle w:val="FirstParagraph"/>
      </w:pPr>
      <w:r>
        <w:t xml:space="preserve">We presented a physics-encoded neural operator for transient stability assessment that predicts</w:t>
      </w:r>
      <w:r>
        <w:t xml:space="preserve"> </w:t>
      </w:r>
      <w:r>
        <w:t xml:space="preserve">the full post-fault rotor-angle trajectory and the critical clearing time, with a split-conformal</w:t>
      </w:r>
      <w:r>
        <w:t xml:space="preserve"> </w:t>
      </w:r>
      <w:r>
        <w:t xml:space="preserve">layer providing a finite-sample, distribution-free trajectory band for the stable subpopulation</w:t>
      </w:r>
      <w:r>
        <w:t xml:space="preserve"> </w:t>
      </w:r>
      <w:r>
        <w:t xml:space="preserve">on the output grid. The key enabler is a physics-informed input encoding—the swing-equation</w:t>
      </w:r>
      <w:r>
        <w:t xml:space="preserve"> </w:t>
      </w:r>
      <w:r>
        <w:t xml:space="preserve">acceleration vector, extended by a post-fault severity vector—which lets the operator generalize</w:t>
      </w:r>
      <w:r>
        <w:t xml:space="preserve"> </w:t>
      </w:r>
      <w:r>
        <w:t xml:space="preserve">to unseen fault locations and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line-trip topologies. On the IEEE 39-bus</w:t>
      </w:r>
      <w:r>
        <w:t xml:space="preserve"> </w:t>
      </w:r>
      <w:r>
        <w:t xml:space="preserve">system the operator runs</w:t>
      </w:r>
      <w:r>
        <w:t xml:space="preserve"> </w:t>
      </w:r>
      <m:oMath>
        <m:r>
          <m:rPr>
            <m:sty m:val="p"/>
          </m:rPr>
          <m:t>≈</m:t>
        </m:r>
        <m:r>
          <m:t>214</m:t>
        </m:r>
        <m:r>
          <m:t>​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time-domain simulation on identical</w:t>
      </w:r>
      <w:r>
        <w:t xml:space="preserve"> </w:t>
      </w:r>
      <w:r>
        <w:t xml:space="preserve">hardware, classifies stability with 95.4% accuracy under the max-over-time</w:t>
      </w:r>
      <w:r>
        <w:t xml:space="preserve"> </w:t>
      </w:r>
      <m:oMath>
        <m:r>
          <m:t>π</m:t>
        </m:r>
      </m:oMath>
      <w:r>
        <w:t xml:space="preserve">-separation</w:t>
      </w:r>
      <w:r>
        <w:t xml:space="preserve"> </w:t>
      </w:r>
      <w:r>
        <w:t xml:space="preserve">criterion, and estimates the CCT to within 25.2 ms against an event-aligned reference; the</w:t>
      </w:r>
      <w:r>
        <w:t xml:space="preserve"> </w:t>
      </w:r>
      <w:r>
        <w:t xml:space="preserve">directly calibrated pairwise bound (148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) is coverage-valid, with a</w:t>
      </w:r>
      <w:r>
        <w:t xml:space="preserve"> </w:t>
      </w:r>
      <w:r>
        <w:t xml:space="preserve">wrong-release rate and resolvable fraction reported in Section </w:t>
      </w:r>
      <w:hyperlink w:anchor="sec:results">
        <w:r>
          <w:rPr>
            <w:rStyle w:val="ab"/>
          </w:rPr>
          <w:t xml:space="preserve">6</w:t>
        </w:r>
      </w:hyperlink>
      <w:r>
        <w:t xml:space="preserve"> </w:t>
      </w:r>
      <w:r>
        <w:t xml:space="preserve">and a TDS</w:t>
      </w:r>
      <w:r>
        <w:t xml:space="preserve"> </w:t>
      </w:r>
      <w:r>
        <w:t xml:space="preserve">fallback for the remainder. A negative result shows that, for this system and protocol, the</w:t>
      </w:r>
      <w:r>
        <w:t xml:space="preserve"> </w:t>
      </w:r>
      <w:r>
        <w:t xml:space="preserve">physics-informed input encoding is more effective than a physics-residual loss, and the encoding</w:t>
      </w:r>
      <w:r>
        <w:t xml:space="preserve"> </w:t>
      </w:r>
      <w:r>
        <w:t xml:space="preserve">carries over unchanged to one-axis, exciter, and damped generator models and to a synthetic</w:t>
      </w:r>
      <w:r>
        <w:t xml:space="preserve"> </w:t>
      </w:r>
      <w:r>
        <w:t xml:space="preserve">118-bus dynamic case (92.9% accuracy), where trajectory-level bands remain vacuous for</w:t>
      </w:r>
      <w:r>
        <w:t xml:space="preserve"> </w:t>
      </w:r>
      <w:r>
        <w:t xml:space="preserve">decisions. Together with the operating-point limitation, these results define a fast,</w:t>
      </w:r>
      <w:r>
        <w:t xml:space="preserve"> </w:t>
      </w:r>
      <w:r>
        <w:t xml:space="preserve">uncertainty-aware screening tool for TSA within its calibrated domain, and a concrete</w:t>
      </w:r>
      <w:r>
        <w:t xml:space="preserve"> </w:t>
      </w:r>
      <w:r>
        <w:t xml:space="preserve">agenda—out-of-domain detection, multi-swing and multi-operating-point calibration, and tighter</w:t>
      </w:r>
      <w:r>
        <w:t xml:space="preserve"> </w:t>
      </w:r>
      <w:r>
        <w:t xml:space="preserve">near-boundary scores—for its deployment.</w:t>
      </w:r>
    </w:p>
    <w:bookmarkEnd w:id="71"/>
    <w:bookmarkStart w:id="72" w:name="acknowledgments"/>
    <w:p>
      <w:pPr>
        <w:pStyle w:val="1"/>
      </w:pPr>
      <w:r>
        <w:t xml:space="preserve">Acknowledgments</w:t>
      </w:r>
    </w:p>
    <w:p>
      <w:pPr>
        <w:pStyle w:val="FirstParagraph"/>
      </w:pPr>
      <w:r>
        <w:t xml:space="preserve">During the preparation of this work the authors used [TOOL NAME—e.g., Claude (Anthropic)] to</w:t>
      </w:r>
      <w:r>
        <w:t xml:space="preserve"> </w:t>
      </w:r>
      <w:r>
        <w:t xml:space="preserve">polish the language and improve the readability of the manuscript. After using this tool, the</w:t>
      </w:r>
      <w:r>
        <w:t xml:space="preserve"> </w:t>
      </w:r>
      <w:r>
        <w:t xml:space="preserve">authors reviewed and edited the content as needed and take full responsibility for the content</w:t>
      </w:r>
      <w:r>
        <w:t xml:space="preserve"> </w:t>
      </w:r>
      <w:r>
        <w:t xml:space="preserve">of the publication.</w:t>
      </w:r>
    </w:p>
    <w:bookmarkEnd w:id="72"/>
    <w:bookmarkStart w:id="73" w:name="declarations"/>
    <w:p>
      <w:pPr>
        <w:pStyle w:val="1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Funding.</w:t>
      </w:r>
      <w:r>
        <w:t xml:space="preserve"> </w:t>
      </w:r>
      <w:r>
        <w:t xml:space="preserve">The authors declare no specific funding for this work.</w:t>
      </w:r>
      <w:r>
        <w:br/>
      </w:r>
      <w:hyperlink r:id="rId45">
        <w:r>
          <w:rPr>
            <w:rStyle w:val="ab"/>
          </w:rPr>
          <w:t xml:space="preserve">https://github.com/La0Fe1/operator-transient-stability</w:t>
        </w:r>
      </w:hyperlink>
    </w:p>
    <w:p>
      <w:r>
        <w:rPr>
          <w:b/>
          <w:bCs/>
        </w:rPr>
        <w:t xml:space="preserve">CRediT authorship contribution statement.</w:t>
      </w:r>
      <w:r>
        <w:t xml:space="preserve"> </w:t>
      </w:r>
      <w:r>
        <w:t xml:space="preserve">Zhenyu Liu: Conceptualization, Methodology,</w:t>
      </w:r>
      <w:r>
        <w:t xml:space="preserve"> </w:t>
      </w:r>
      <w:r>
        <w:t xml:space="preserve">Software, Validation, Formal analysis, Investigation, Writing – original draft, Writing –</w:t>
      </w:r>
      <w:r>
        <w:t xml:space="preserve"> </w:t>
      </w:r>
      <w:r>
        <w:t xml:space="preserve">review &amp; editing. Jiale Wang: Validation, Writing – review &amp; editing. Jiayong Liu: Validation,</w:t>
      </w:r>
      <w:r>
        <w:t xml:space="preserve"> </w:t>
      </w:r>
      <w:r>
        <w:t xml:space="preserve">Writing – review &amp; editing. Zhicheng Zeng: Validation, Writing – review &amp; editing.</w:t>
      </w:r>
    </w:p>
    <w:p>
      <w:r>
        <w:rPr>
          <w:b/>
          <w:bCs/>
        </w:rPr>
        <w:t xml:space="preserve">Data availability.</w:t>
      </w:r>
      <w:r>
        <w:t xml:space="preserve"> </w:t>
      </w:r>
      <w:r>
        <w:t xml:space="preserve">The code reproducing all experiments—scenario generation,</w:t>
      </w:r>
      <w:r>
        <w:t xml:space="preserve"> </w:t>
      </w:r>
      <w:r>
        <w:t xml:space="preserve">model training for all variants, conformal calibration, CCT binary search, and the sources for</w:t>
      </w:r>
      <w:r>
        <w:t xml:space="preserve"> </w:t>
      </w:r>
      <w:r>
        <w:t xml:space="preserve">Figures 1–3 and Tables 1–3—is available at</w:t>
      </w:r>
      <w:r>
        <w:t xml:space="preserve"> </w:t>
      </w:r>
      <w:r>
        <w:t xml:space="preserve">, together with the random seeds,</w:t>
      </w:r>
      <w:r>
        <w:t xml:space="preserve"> </w:t>
      </w:r>
      <w:r>
        <w:t xml:space="preserve">software versions, and environment file.</w:t>
      </w:r>
      <w:r/>
    </w:p>
    <w:p>
      <w:r>
        <w:rPr>
          <w:b/>
          <w:bCs/>
        </w:rPr>
        <w:t xml:space="preserve">Conflict of interest.</w:t>
      </w:r>
      <w:r>
        <w:t xml:space="preserve"> </w:t>
      </w:r>
      <w:r>
        <w:t xml:space="preserve">The authors declare no competing interests.</w:t>
      </w:r>
      <w:r/>
    </w:p>
    <w:bookmarkEnd w:id="73"/>
    <w:bookmarkStart w:id="112" w:name="author-biographies"/>
    <w:p>
      <w:pPr>
        <w:pStyle w:val="1"/>
      </w:pPr>
      <w:r>
        <w:t xml:space="preserve">Author biographies</w:t>
      </w:r>
    </w:p>
    <w:p>
      <w:pPr>
        <w:pStyle w:val="FirstParagraph"/>
      </w:pPr>
      <w:r>
        <w:rPr>
          <w:b/>
          <w:bCs/>
        </w:rPr>
        <w:t xml:space="preserve">Zhenyu Liu</w:t>
      </w:r>
      <w:r>
        <w:t xml:space="preserve"> </w:t>
      </w:r>
      <w:r>
        <w:t xml:space="preserve">received ... [PLACEHOLDER: education background and research</w:t>
      </w:r>
      <w:r>
        <w:t xml:space="preserve"> </w:t>
      </w:r>
      <w:r>
        <w:t xml:space="preserve">interests to be filled in by the authors].</w:t>
      </w:r>
      <w:r>
        <w:br/>
      </w:r>
      <w:r>
        <w:rPr>
          <w:b/>
          <w:bCs/>
        </w:rPr>
        <w:t xml:space="preserve">Jiale Wang</w:t>
      </w:r>
      <w:r>
        <w:t xml:space="preserve"> </w:t>
      </w:r>
      <w:r>
        <w:t xml:space="preserve">... [PLACEHOLDER].</w:t>
      </w:r>
      <w:r>
        <w:br/>
      </w:r>
      <w:r>
        <w:rPr>
          <w:b/>
          <w:bCs/>
        </w:rPr>
        <w:t xml:space="preserve">Jiayong Liu</w:t>
      </w:r>
      <w:r>
        <w:t xml:space="preserve"> </w:t>
      </w:r>
      <w:r>
        <w:t xml:space="preserve">... [PLACEHOLDER].</w:t>
      </w:r>
      <w:r>
        <w:br/>
      </w:r>
      <w:r>
        <w:rPr>
          <w:b/>
          <w:bCs/>
        </w:rPr>
        <w:t xml:space="preserve">Zhicheng Zeng</w:t>
      </w:r>
      <w:r>
        <w:t xml:space="preserve"> </w:t>
      </w:r>
      <w:r>
        <w:t xml:space="preserve">... [PLACEHOLDER].</w:t>
      </w:r>
    </w:p>
    <w:bookmarkStart w:id="111" w:name="refs"/>
    <w:bookmarkStart w:id="74" w:name="ref-sauer1998dynamics"/>
    <w:p>
      <w:pPr>
        <w:pStyle w:val="Bibliography"/>
        <w:ind w:left="430" w:hanging="430"/>
      </w:pPr>
      <w:r>
        <w:t xml:space="preserve">[1]</w:t>
      </w:r>
      <w:r>
        <w:t xml:space="preserve"> </w:t>
      </w:r>
      <w:r>
        <w:t xml:space="preserve">	</w:t>
      </w:r>
      <w:r>
        <w:t xml:space="preserve">P. W. Sauer and M. A. Pai,</w:t>
      </w:r>
      <w:r>
        <w:t xml:space="preserve"> </w:t>
      </w:r>
      <w:r>
        <w:rPr>
          <w:i/>
          <w:iCs/>
        </w:rPr>
        <w:t xml:space="preserve">Power system dynamics and stability</w:t>
      </w:r>
      <w:r>
        <w:t xml:space="preserve">. Upper Saddle River, NJ: Prentice Hall, 1998.</w:t>
      </w:r>
    </w:p>
    <w:bookmarkEnd w:id="74"/>
    <w:bookmarkStart w:id="75" w:name="ref-kundur1994power"/>
    <w:p>
      <w:pPr>
        <w:pStyle w:val="Bibliography"/>
        <w:ind w:left="430" w:hanging="430"/>
      </w:pPr>
      <w:r>
        <w:t xml:space="preserve">[2]</w:t>
      </w:r>
      <w:r>
        <w:t xml:space="preserve"> </w:t>
      </w:r>
      <w:r>
        <w:t xml:space="preserve">	</w:t>
      </w:r>
      <w:r>
        <w:t xml:space="preserve">P. Kundur,</w:t>
      </w:r>
      <w:r>
        <w:t xml:space="preserve"> </w:t>
      </w:r>
      <w:r>
        <w:rPr>
          <w:i/>
          <w:iCs/>
        </w:rPr>
        <w:t xml:space="preserve">Power system stability and control</w:t>
      </w:r>
      <w:r>
        <w:t xml:space="preserve">. New York: McGraw-Hill, 1994.</w:t>
      </w:r>
    </w:p>
    <w:bookmarkEnd w:id="75"/>
    <w:bookmarkStart w:id="76" w:name="ref-stott1979power"/>
    <w:p>
      <w:pPr>
        <w:pStyle w:val="Bibliography"/>
        <w:ind w:left="430" w:hanging="430"/>
      </w:pPr>
      <w:r>
        <w:t xml:space="preserve">[3]</w:t>
      </w:r>
      <w:r>
        <w:t xml:space="preserve"> </w:t>
      </w:r>
      <w:r>
        <w:t xml:space="preserve">	</w:t>
      </w:r>
      <w:r>
        <w:t xml:space="preserve">B. Stott,</w:t>
      </w:r>
      <w:r>
        <w:t xml:space="preserve"> </w:t>
      </w:r>
      <w:r>
        <w:t xml:space="preserve">“Power system dynamic response calculations,”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vol. 67, no. 2, pp. 219–241, 1979.</w:t>
      </w:r>
    </w:p>
    <w:bookmarkEnd w:id="76"/>
    <w:bookmarkStart w:id="77" w:name="ref-alimi2020review"/>
    <w:p>
      <w:pPr>
        <w:pStyle w:val="Bibliography"/>
        <w:ind w:left="430" w:hanging="430"/>
      </w:pPr>
      <w:r>
        <w:t xml:space="preserve">[4]</w:t>
      </w:r>
      <w:r>
        <w:t xml:space="preserve"> </w:t>
      </w:r>
      <w:r>
        <w:t xml:space="preserve">	</w:t>
      </w:r>
      <w:r>
        <w:t xml:space="preserve">O. A. Alimi, K. Ouahada, and A. M. Abu-Mahfouz,</w:t>
      </w:r>
      <w:r>
        <w:t xml:space="preserve"> </w:t>
      </w:r>
      <w:r>
        <w:t xml:space="preserve">“A review of machine learning approaches to power system security and stability,”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8, pp. 113512–113531, 2020.</w:t>
      </w:r>
    </w:p>
    <w:bookmarkEnd w:id="77"/>
    <w:bookmarkStart w:id="79" w:name="ref-lu2021learning"/>
    <w:p>
      <w:pPr>
        <w:pStyle w:val="Bibliography"/>
        <w:ind w:left="430" w:hanging="430"/>
      </w:pPr>
      <w:r>
        <w:t xml:space="preserve">[5]</w:t>
      </w:r>
      <w:r>
        <w:t xml:space="preserve"> </w:t>
      </w:r>
      <w:r>
        <w:t xml:space="preserve">	</w:t>
      </w:r>
      <w:r>
        <w:t xml:space="preserve">L. Lu, P. Jin, G. Pang,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“Learning nonlinear operators via</w:t>
      </w:r>
      <w:r>
        <w:t xml:space="preserve"> </w:t>
      </w:r>
      <w:r>
        <w:t xml:space="preserve">DeepONet</w:t>
      </w:r>
      <w:r>
        <w:t xml:space="preserve"> </w:t>
      </w:r>
      <w:r>
        <w:t xml:space="preserve">based on the universal approximation theorem of operators,”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vol. 3, no. 3, pp. 218–229, 2021, doi:</w:t>
      </w:r>
      <w:r>
        <w:t xml:space="preserve"> </w:t>
      </w:r>
      <w:hyperlink r:id="rId78">
        <w:r>
          <w:rPr>
            <w:rStyle w:val="ab"/>
          </w:rPr>
          <w:t xml:space="preserve">10.1038/s42256-021-00302-5</w:t>
        </w:r>
      </w:hyperlink>
      <w:r>
        <w:t xml:space="preserve">.</w:t>
      </w:r>
    </w:p>
    <w:bookmarkEnd w:id="79"/>
    <w:bookmarkStart w:id="80" w:name="ref-lei2018distribution"/>
    <w:p>
      <w:pPr>
        <w:pStyle w:val="Bibliography"/>
        <w:ind w:left="430" w:hanging="430"/>
      </w:pPr>
      <w:r>
        <w:t xml:space="preserve">[6]</w:t>
      </w:r>
      <w:r>
        <w:t xml:space="preserve"> </w:t>
      </w:r>
      <w:r>
        <w:t xml:space="preserve">	</w:t>
      </w:r>
      <w:r>
        <w:t xml:space="preserve">J. Lei, M. G’Sell, A. Rinaldo,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“Distribution-free predictive inference for regression,”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113, no. 523, pp. 1094–1111, 2018.</w:t>
      </w:r>
    </w:p>
    <w:bookmarkEnd w:id="80"/>
    <w:bookmarkStart w:id="81" w:name="ref-karampinis2025neural"/>
    <w:p>
      <w:pPr>
        <w:pStyle w:val="Bibliography"/>
        <w:ind w:left="430" w:hanging="430"/>
      </w:pPr>
      <w:r>
        <w:t xml:space="preserve">[7]</w:t>
      </w:r>
      <w:r>
        <w:t xml:space="preserve"> </w:t>
      </w:r>
      <w:r>
        <w:t xml:space="preserve">	</w:t>
      </w:r>
      <w:r>
        <w:t xml:space="preserve">I. Karampinis, P. Ellinas, J. Vorwerk,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“Neural operators for power systems: A physics-informed framework for modeling power system components,”</w:t>
      </w:r>
      <w:r>
        <w:t xml:space="preserve"> </w:t>
      </w:r>
      <w:r>
        <w:rPr>
          <w:i/>
          <w:iCs/>
        </w:rPr>
        <w:t xml:space="preserve">Electric Power Systems Research</w:t>
      </w:r>
      <w:r>
        <w:t xml:space="preserve">, vol. 263, p. 113755, 2027.</w:t>
      </w:r>
    </w:p>
    <w:bookmarkEnd w:id="81"/>
    <w:bookmarkStart w:id="83" w:name="ref-mollaali2025conformalized"/>
    <w:p>
      <w:pPr>
        <w:pStyle w:val="Bibliography"/>
        <w:ind w:left="430" w:hanging="430"/>
      </w:pPr>
      <w:r>
        <w:t xml:space="preserve">[8]</w:t>
      </w:r>
      <w:r>
        <w:t xml:space="preserve"> </w:t>
      </w:r>
      <w:r>
        <w:t xml:space="preserve">	</w:t>
      </w:r>
      <w:r>
        <w:t xml:space="preserve">A. Mollaali, G. Zufferey, G. Constante-Flores,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“Conformalized prediction of post-fault voltage trajectories using pre-trained and finetuned attention-driven neural operators,”</w:t>
      </w:r>
      <w:r>
        <w:t xml:space="preserve"> </w:t>
      </w:r>
      <w:r>
        <w:rPr>
          <w:i/>
          <w:iCs/>
        </w:rPr>
        <w:t xml:space="preserve">Neural Networks</w:t>
      </w:r>
      <w:r>
        <w:t xml:space="preserve">, vol. 192, p. 107809, 2025, doi:</w:t>
      </w:r>
      <w:r>
        <w:t xml:space="preserve"> </w:t>
      </w:r>
      <w:hyperlink r:id="rId82">
        <w:r>
          <w:rPr>
            <w:rStyle w:val="ab"/>
          </w:rPr>
          <w:t xml:space="preserve">10.1016/j.neunet.2025.107809</w:t>
        </w:r>
      </w:hyperlink>
      <w:r>
        <w:t xml:space="preserve">.</w:t>
      </w:r>
    </w:p>
    <w:bookmarkEnd w:id="83"/>
    <w:bookmarkStart w:id="84" w:name="ref-lu2026confidence"/>
    <w:p>
      <w:pPr>
        <w:pStyle w:val="Bibliography"/>
        <w:ind w:left="430" w:hanging="430"/>
      </w:pPr>
      <w:r>
        <w:t xml:space="preserve">[9]</w:t>
      </w:r>
      <w:r>
        <w:t xml:space="preserve"> </w:t>
      </w:r>
      <w:r>
        <w:t xml:space="preserve">	</w:t>
      </w:r>
      <w:r>
        <w:t xml:space="preserve">G. Lu, J. Wang, S. Bu,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“Confidence-aware transient stability assessment using a large language model and conformal prediction,”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2026 IEEE PES international meeting (PES IM)</w:t>
      </w:r>
      <w:r>
        <w:t xml:space="preserve">, Hong Kong, China, 2026, pp. 1–5.</w:t>
      </w:r>
    </w:p>
    <w:bookmarkEnd w:id="84"/>
    <w:bookmarkStart w:id="86" w:name="ref-li2021fourier"/>
    <w:p>
      <w:pPr>
        <w:pStyle w:val="Bibliography"/>
        <w:ind w:left="430" w:hanging="430"/>
      </w:pPr>
      <w:r>
        <w:t xml:space="preserve">[10]</w:t>
      </w:r>
      <w:r>
        <w:t xml:space="preserve"> </w:t>
      </w:r>
      <w:r>
        <w:t xml:space="preserve">	</w:t>
      </w:r>
      <w:r>
        <w:t xml:space="preserve">Z. Li, N. Kovachki, K. Azizzadenesheli,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“Fourier neural operator for parametric partial differential equations,”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, 2021. Available:</w:t>
      </w:r>
      <w:r>
        <w:t xml:space="preserve"> </w:t>
      </w:r>
      <w:hyperlink r:id="rId85">
        <w:r>
          <w:rPr>
            <w:rStyle w:val="ab"/>
          </w:rPr>
          <w:t xml:space="preserve">https://arxiv.org/abs/2010.08895</w:t>
        </w:r>
      </w:hyperlink>
    </w:p>
    <w:bookmarkEnd w:id="86"/>
    <w:bookmarkStart w:id="88" w:name="ref-raissi2019physics"/>
    <w:p>
      <w:pPr>
        <w:pStyle w:val="Bibliography"/>
        <w:ind w:left="430" w:hanging="430"/>
      </w:pPr>
      <w:r>
        <w:t xml:space="preserve">[11]</w:t>
      </w:r>
      <w:r>
        <w:t xml:space="preserve"> </w:t>
      </w:r>
      <w:r>
        <w:t xml:space="preserve">	</w:t>
      </w:r>
      <w:r>
        <w:t xml:space="preserve">M. Raissi, P. Perdikaris, and G. E. Karniadakis,</w:t>
      </w:r>
      <w:r>
        <w:t xml:space="preserve"> </w:t>
      </w:r>
      <w:r>
        <w:t xml:space="preserve">“Physics-informed neural networks: A deep learning framework for solving forward and inverse problems involving nonlinear partial differential equations,”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, vol. 378, pp. 686–707, 2019, doi:</w:t>
      </w:r>
      <w:r>
        <w:t xml:space="preserve"> </w:t>
      </w:r>
      <w:hyperlink r:id="rId87">
        <w:r>
          <w:rPr>
            <w:rStyle w:val="ab"/>
          </w:rPr>
          <w:t xml:space="preserve">10.1016/j.jcp.2018.10.045</w:t>
        </w:r>
      </w:hyperlink>
      <w:r>
        <w:t xml:space="preserve">.</w:t>
      </w:r>
    </w:p>
    <w:bookmarkEnd w:id="88"/>
    <w:bookmarkStart w:id="90" w:name="ref-moya2025conformal"/>
    <w:p>
      <w:pPr>
        <w:pStyle w:val="Bibliography"/>
        <w:ind w:left="430" w:hanging="430"/>
      </w:pPr>
      <w:r>
        <w:t xml:space="preserve">[12]</w:t>
      </w:r>
      <w:r>
        <w:t xml:space="preserve"> </w:t>
      </w:r>
      <w:r>
        <w:t xml:space="preserve">	</w:t>
      </w:r>
      <w:r>
        <w:t xml:space="preserve">C. Moya, A. Mollaali, Z. Zhang,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“Conformalized-</w:t>
      </w:r>
      <w:r>
        <w:t xml:space="preserve">DeepONet</w:t>
      </w:r>
      <w:r>
        <w:t xml:space="preserve">: A distribution-free framework for uncertainty quantification in deep operator networks,”</w:t>
      </w:r>
      <w:r>
        <w:t xml:space="preserve"> </w:t>
      </w:r>
      <w:r>
        <w:rPr>
          <w:i/>
          <w:iCs/>
        </w:rPr>
        <w:t xml:space="preserve">Physica D: Nonlinear Phenomena</w:t>
      </w:r>
      <w:r>
        <w:t xml:space="preserve">, vol. 471, p. 134418, 2025, doi:</w:t>
      </w:r>
      <w:r>
        <w:t xml:space="preserve"> </w:t>
      </w:r>
      <w:hyperlink r:id="rId89">
        <w:r>
          <w:rPr>
            <w:rStyle w:val="ab"/>
          </w:rPr>
          <w:t xml:space="preserve">10.1016/j.physd.2024.134418</w:t>
        </w:r>
      </w:hyperlink>
      <w:r>
        <w:t xml:space="preserve">.</w:t>
      </w:r>
    </w:p>
    <w:bookmarkEnd w:id="90"/>
    <w:bookmarkStart w:id="91" w:name="ref-huang2025optimal"/>
    <w:p>
      <w:pPr>
        <w:pStyle w:val="Bibliography"/>
        <w:ind w:left="430" w:hanging="430"/>
      </w:pPr>
      <w:r>
        <w:t xml:space="preserve">[13]</w:t>
      </w:r>
      <w:r>
        <w:t xml:space="preserve"> </w:t>
      </w:r>
      <w:r>
        <w:t xml:space="preserve">	</w:t>
      </w:r>
      <w:r>
        <w:t xml:space="preserve">B. Huang, S. Dong, and Q. Guo,</w:t>
      </w:r>
      <w:r>
        <w:t xml:space="preserve"> </w:t>
      </w:r>
      <w:r>
        <w:t xml:space="preserve">“Optimal power flow of</w:t>
      </w:r>
      <w:r>
        <w:t xml:space="preserve"> </w:t>
      </w:r>
      <w:r>
        <w:t xml:space="preserve">AC</w:t>
      </w:r>
      <w:r>
        <w:t xml:space="preserve">/</w:t>
      </w:r>
      <w:r>
        <w:t xml:space="preserve">DC</w:t>
      </w:r>
      <w:r>
        <w:t xml:space="preserve"> </w:t>
      </w:r>
      <w:r>
        <w:t xml:space="preserve">power systems based on physics-informed 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2025 6th international conference on advanced electrical and energy systems (AEES)</w:t>
      </w:r>
      <w:r>
        <w:t xml:space="preserve">, 2025, pp. 264–270.</w:t>
      </w:r>
    </w:p>
    <w:bookmarkEnd w:id="91"/>
    <w:bookmarkStart w:id="92" w:name="ref-chen2025power"/>
    <w:p>
      <w:pPr>
        <w:pStyle w:val="Bibliography"/>
        <w:ind w:left="430" w:hanging="430"/>
      </w:pPr>
      <w:r>
        <w:t xml:space="preserve">[14]</w:t>
      </w:r>
      <w:r>
        <w:t xml:space="preserve"> </w:t>
      </w:r>
      <w:r>
        <w:t xml:space="preserve">	</w:t>
      </w:r>
      <w:r>
        <w:t xml:space="preserve">K. Chen,</w:t>
      </w:r>
      <w:r>
        <w:t xml:space="preserve"> </w:t>
      </w:r>
      <w:r>
        <w:t xml:space="preserve">“Power flow analysis and optimal power flow with physics-informed deep learning,”</w:t>
      </w:r>
      <w:r>
        <w:t xml:space="preserve"> </w:t>
      </w:r>
      <w:r>
        <w:t xml:space="preserve">PhD thesis, University of California, Santa Cruz, 2025.</w:t>
      </w:r>
    </w:p>
    <w:bookmarkEnd w:id="92"/>
    <w:bookmarkStart w:id="94" w:name="ref-chen2022distribution"/>
    <w:p>
      <w:pPr>
        <w:pStyle w:val="Bibliography"/>
        <w:ind w:left="430" w:hanging="430"/>
      </w:pPr>
      <w:r>
        <w:t xml:space="preserve">[15]</w:t>
      </w:r>
      <w:r>
        <w:t xml:space="preserve"> </w:t>
      </w:r>
      <w:r>
        <w:t xml:space="preserve">	</w:t>
      </w:r>
      <w:r>
        <w:t xml:space="preserve">K. Chen, S. Liu, N. Yu,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“Distribution-aware graph representation learning for transient stability assessment of power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2022 international joint conference on neural networks (IJCNN)</w:t>
      </w:r>
      <w:r>
        <w:t xml:space="preserve">, 2022, pp. 1–8. Available:</w:t>
      </w:r>
      <w:r>
        <w:t xml:space="preserve"> </w:t>
      </w:r>
      <w:hyperlink r:id="rId93">
        <w:r>
          <w:rPr>
            <w:rStyle w:val="ab"/>
          </w:rPr>
          <w:t xml:space="preserve">https://arxiv.org/abs/2205.06576</w:t>
        </w:r>
      </w:hyperlink>
    </w:p>
    <w:bookmarkEnd w:id="94"/>
    <w:bookmarkStart w:id="95" w:name="ref-hao2026event"/>
    <w:p>
      <w:pPr>
        <w:pStyle w:val="Bibliography"/>
        <w:ind w:left="430" w:hanging="430"/>
      </w:pPr>
      <w:r>
        <w:t xml:space="preserve">[16]</w:t>
      </w:r>
      <w:r>
        <w:t xml:space="preserve"> </w:t>
      </w:r>
      <w:r>
        <w:t xml:space="preserve">	</w:t>
      </w:r>
      <w:r>
        <w:t xml:space="preserve">B. Hao, C. Hu, M. Zhong,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“Event-structured physics-informed neural networks for differentiable critical clearing boundaries,”</w:t>
      </w:r>
      <w:r>
        <w:t xml:space="preserve"> </w:t>
      </w:r>
      <w:r>
        <w:rPr>
          <w:i/>
          <w:iCs/>
        </w:rPr>
        <w:t xml:space="preserve">arXiv preprint arXiv:2607.27681</w:t>
      </w:r>
      <w:r>
        <w:t xml:space="preserve">, 2026.</w:t>
      </w:r>
    </w:p>
    <w:bookmarkEnd w:id="95"/>
    <w:bookmarkStart w:id="96" w:name="ref-stiasny2021transient"/>
    <w:p>
      <w:pPr>
        <w:pStyle w:val="Bibliography"/>
        <w:ind w:left="430" w:hanging="430"/>
      </w:pPr>
      <w:r>
        <w:t xml:space="preserve">[17]</w:t>
      </w:r>
      <w:r>
        <w:t xml:space="preserve"> </w:t>
      </w:r>
      <w:r>
        <w:t xml:space="preserve">	</w:t>
      </w:r>
      <w:r>
        <w:t xml:space="preserve">J. Stiasny, G. S. Misyris, and S. Chatzivasileiadis,</w:t>
      </w:r>
      <w:r>
        <w:t xml:space="preserve"> </w:t>
      </w:r>
      <w:r>
        <w:t xml:space="preserve">“Transient stability analysis with physics-informed neural networks,”</w:t>
      </w:r>
      <w:r>
        <w:t xml:space="preserve"> </w:t>
      </w:r>
      <w:r>
        <w:rPr>
          <w:i/>
          <w:iCs/>
        </w:rPr>
        <w:t xml:space="preserve">arXiv preprint arXiv:2106.13638</w:t>
      </w:r>
      <w:r>
        <w:t xml:space="preserve">, 2021.</w:t>
      </w:r>
    </w:p>
    <w:bookmarkEnd w:id="96"/>
    <w:bookmarkStart w:id="97" w:name="ref-wang2025fast"/>
    <w:p>
      <w:pPr>
        <w:pStyle w:val="Bibliography"/>
        <w:ind w:left="430" w:hanging="430"/>
      </w:pPr>
      <w:r>
        <w:t xml:space="preserve">[18]</w:t>
      </w:r>
      <w:r>
        <w:t xml:space="preserve"> </w:t>
      </w:r>
      <w:r>
        <w:t xml:space="preserve">	</w:t>
      </w:r>
      <w:r>
        <w:t xml:space="preserve">X. Wang, Y. Xu, W. Gu,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“Fast critical clearing time calculation for power systems with synchronous and asynchronous generation,”</w:t>
      </w:r>
      <w:r>
        <w:t xml:space="preserve"> </w:t>
      </w:r>
      <w:r>
        <w:rPr>
          <w:i/>
          <w:iCs/>
        </w:rPr>
        <w:t xml:space="preserve">arXiv preprint arXiv:2503.12132</w:t>
      </w:r>
      <w:r>
        <w:t xml:space="preserve">, 2025.</w:t>
      </w:r>
    </w:p>
    <w:bookmarkEnd w:id="97"/>
    <w:bookmarkStart w:id="99" w:name="ref-moya2023deeponet"/>
    <w:p>
      <w:pPr>
        <w:pStyle w:val="Bibliography"/>
        <w:ind w:left="430" w:hanging="430"/>
      </w:pPr>
      <w:r>
        <w:t xml:space="preserve">[19]</w:t>
      </w:r>
      <w:r>
        <w:t xml:space="preserve"> </w:t>
      </w:r>
      <w:r>
        <w:t xml:space="preserve">	</w:t>
      </w:r>
      <w:r>
        <w:t xml:space="preserve">C. Moya, S. Zhang, G. Lin,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“DeepONet-grid-UQ: A trustworthy deep operator framework for predicting the power grid’s post-fault trajectories,”</w:t>
      </w:r>
      <w:r>
        <w:t xml:space="preserve"> </w:t>
      </w:r>
      <w:r>
        <w:rPr>
          <w:i/>
          <w:iCs/>
        </w:rPr>
        <w:t xml:space="preserve">Neurocomputing</w:t>
      </w:r>
      <w:r>
        <w:t xml:space="preserve">, vol. 535, pp. 166–182, 2023, doi:</w:t>
      </w:r>
      <w:r>
        <w:t xml:space="preserve"> </w:t>
      </w:r>
      <w:hyperlink r:id="rId98">
        <w:r>
          <w:rPr>
            <w:rStyle w:val="ab"/>
          </w:rPr>
          <w:t xml:space="preserve">10.1016/j.neucom.2023.03.015</w:t>
        </w:r>
      </w:hyperlink>
      <w:r>
        <w:t xml:space="preserve">.</w:t>
      </w:r>
    </w:p>
    <w:bookmarkEnd w:id="99"/>
    <w:bookmarkStart w:id="101" w:name="ref-ma2024calibrated"/>
    <w:p>
      <w:pPr>
        <w:pStyle w:val="Bibliography"/>
        <w:ind w:left="430" w:hanging="430"/>
      </w:pPr>
      <w:r>
        <w:t xml:space="preserve">[20]</w:t>
      </w:r>
      <w:r>
        <w:t xml:space="preserve"> </w:t>
      </w:r>
      <w:r>
        <w:t xml:space="preserve">	</w:t>
      </w:r>
      <w:r>
        <w:t xml:space="preserve">Z. Ma, Z. Pitt, K. Azizzadenesheli,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“Calibrated uncertainty quantification for operator learning via conformal prediction,”</w:t>
      </w:r>
      <w:r>
        <w:t xml:space="preserve"> </w:t>
      </w:r>
      <w:r>
        <w:rPr>
          <w:i/>
          <w:iCs/>
        </w:rPr>
        <w:t xml:space="preserve">Transactions on Machine Learning Research</w:t>
      </w:r>
      <w:r>
        <w:t xml:space="preserve">, 2024, Available:</w:t>
      </w:r>
      <w:r>
        <w:t xml:space="preserve"> </w:t>
      </w:r>
      <w:hyperlink r:id="rId100">
        <w:r>
          <w:rPr>
            <w:rStyle w:val="ab"/>
          </w:rPr>
          <w:t xml:space="preserve">https://arxiv.org/abs/2402.01960</w:t>
        </w:r>
      </w:hyperlink>
    </w:p>
    <w:bookmarkEnd w:id="101"/>
    <w:bookmarkStart w:id="102" w:name="ref-athay1979transient"/>
    <w:p>
      <w:pPr>
        <w:pStyle w:val="Bibliography"/>
        <w:ind w:left="430" w:hanging="430"/>
      </w:pPr>
      <w:r>
        <w:t xml:space="preserve">[21]</w:t>
      </w:r>
      <w:r>
        <w:t xml:space="preserve"> </w:t>
      </w:r>
      <w:r>
        <w:t xml:space="preserve">	</w:t>
      </w:r>
      <w:r>
        <w:t xml:space="preserve">T. Athay, R. Podmore, and S. Virmani,</w:t>
      </w:r>
      <w:r>
        <w:t xml:space="preserve"> </w:t>
      </w:r>
      <w:r>
        <w:t xml:space="preserve">“A practical method for the direct analysis of transient stability,”</w:t>
      </w:r>
      <w:r>
        <w:t xml:space="preserve"> </w:t>
      </w:r>
      <w:r>
        <w:rPr>
          <w:i/>
          <w:iCs/>
        </w:rPr>
        <w:t xml:space="preserve">IEEE Transactions on Power Apparatus and Systems</w:t>
      </w:r>
      <w:r>
        <w:t xml:space="preserve">, vol. PAS–98, no. 2, pp. 573–584, 1979.</w:t>
      </w:r>
    </w:p>
    <w:bookmarkEnd w:id="102"/>
    <w:bookmarkStart w:id="104" w:name="ref-wang2018individual"/>
    <w:p>
      <w:pPr>
        <w:pStyle w:val="Bibliography"/>
        <w:ind w:left="430" w:hanging="430"/>
      </w:pPr>
      <w:r>
        <w:t xml:space="preserve">[22]</w:t>
      </w:r>
      <w:r>
        <w:t xml:space="preserve"> </w:t>
      </w:r>
      <w:r>
        <w:t xml:space="preserve">	</w:t>
      </w:r>
      <w:r>
        <w:t xml:space="preserve">S. Wang, J. Yu, and W. Zhang,</w:t>
      </w:r>
      <w:r>
        <w:t xml:space="preserve"> </w:t>
      </w:r>
      <w:r>
        <w:t xml:space="preserve">“Transient stability assessment using individual machine equal area criterion</w:t>
      </w:r>
      <w:r>
        <w:t xml:space="preserve"> </w:t>
      </w:r>
      <w:r>
        <w:t xml:space="preserve">Part II</w:t>
      </w:r>
      <w:r>
        <w:t xml:space="preserve">: Stability margin,”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6, pp. 38693–38705, 2018, doi:</w:t>
      </w:r>
      <w:r>
        <w:t xml:space="preserve"> </w:t>
      </w:r>
      <w:hyperlink r:id="rId103">
        <w:r>
          <w:rPr>
            <w:rStyle w:val="ab"/>
          </w:rPr>
          <w:t xml:space="preserve">10.1109/ACCESS.2018.2853637</w:t>
        </w:r>
      </w:hyperlink>
      <w:r>
        <w:t xml:space="preserve">.</w:t>
      </w:r>
    </w:p>
    <w:bookmarkEnd w:id="104"/>
    <w:bookmarkStart w:id="105" w:name="ref-vovk2005algorithmic"/>
    <w:p>
      <w:pPr>
        <w:pStyle w:val="Bibliography"/>
        <w:ind w:left="430" w:hanging="430"/>
      </w:pPr>
      <w:r>
        <w:t xml:space="preserve">[23]</w:t>
      </w:r>
      <w:r>
        <w:t xml:space="preserve"> </w:t>
      </w:r>
      <w:r>
        <w:t xml:space="preserve">	</w:t>
      </w:r>
      <w:r>
        <w:t xml:space="preserve">V. Vovk, A. Gammerman, and G. Shafer,</w:t>
      </w:r>
      <w:r>
        <w:t xml:space="preserve"> </w:t>
      </w:r>
      <w:r>
        <w:rPr>
          <w:i/>
          <w:iCs/>
        </w:rPr>
        <w:t xml:space="preserve">Algorithmic learning in a random world</w:t>
      </w:r>
      <w:r>
        <w:t xml:space="preserve">. New York: Springer, 2005.</w:t>
      </w:r>
    </w:p>
    <w:bookmarkEnd w:id="105"/>
    <w:bookmarkStart w:id="106" w:name="ref-gibbs2021adaptive"/>
    <w:p>
      <w:pPr>
        <w:pStyle w:val="Bibliography"/>
        <w:ind w:left="430" w:hanging="430"/>
      </w:pPr>
      <w:r>
        <w:t xml:space="preserve">[24]</w:t>
      </w:r>
      <w:r>
        <w:t xml:space="preserve"> </w:t>
      </w:r>
      <w:r>
        <w:t xml:space="preserve">	</w:t>
      </w:r>
      <w:r>
        <w:t xml:space="preserve">I. Gibbs and E. J. Candes,</w:t>
      </w:r>
      <w:r>
        <w:t xml:space="preserve"> </w:t>
      </w:r>
      <w:r>
        <w:t xml:space="preserve">“Adaptive conformal inference under distribution shift,”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2021, pp. 1660–1672.</w:t>
      </w:r>
    </w:p>
    <w:bookmarkEnd w:id="106"/>
    <w:bookmarkStart w:id="107" w:name="ref-lei2014distribution"/>
    <w:p>
      <w:pPr>
        <w:pStyle w:val="Bibliography"/>
        <w:ind w:left="430" w:hanging="430"/>
      </w:pPr>
      <w:r>
        <w:t xml:space="preserve">[25]</w:t>
      </w:r>
      <w:r>
        <w:t xml:space="preserve"> </w:t>
      </w:r>
      <w:r>
        <w:t xml:space="preserve">	</w:t>
      </w:r>
      <w:r>
        <w:t xml:space="preserve">J. Lei and L. Wasserman,</w:t>
      </w:r>
      <w:r>
        <w:t xml:space="preserve"> </w:t>
      </w:r>
      <w:r>
        <w:t xml:space="preserve">“Distribution-free prediction bands for non-parametric regression,”</w:t>
      </w:r>
      <w:r>
        <w:t xml:space="preserve"> </w:t>
      </w:r>
      <w:r>
        <w:rPr>
          <w:i/>
          <w:iCs/>
        </w:rPr>
        <w:t xml:space="preserve">Journal of the Royal Statistical Society: Series B</w:t>
      </w:r>
      <w:r>
        <w:t xml:space="preserve">, vol. 76, no. 1, pp. 71–96, 2014.</w:t>
      </w:r>
    </w:p>
    <w:bookmarkEnd w:id="107"/>
    <w:bookmarkStart w:id="108" w:name="ref-romano2019conformalized"/>
    <w:p>
      <w:pPr>
        <w:pStyle w:val="Bibliography"/>
        <w:ind w:left="430" w:hanging="430"/>
      </w:pPr>
      <w:r>
        <w:t xml:space="preserve">[26]</w:t>
      </w:r>
      <w:r>
        <w:t xml:space="preserve"> </w:t>
      </w:r>
      <w:r>
        <w:t xml:space="preserve">	</w:t>
      </w:r>
      <w:r>
        <w:t xml:space="preserve">Y. Romano, E. Patterson, and E. J. Candes,</w:t>
      </w:r>
      <w:r>
        <w:t xml:space="preserve"> </w:t>
      </w:r>
      <w:r>
        <w:t xml:space="preserve">“Conformalized quantile regression,”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2019, pp. 3543–3553.</w:t>
      </w:r>
    </w:p>
    <w:bookmarkEnd w:id="108"/>
    <w:bookmarkStart w:id="110" w:name="ref-demetriou2017dynamic"/>
    <w:p>
      <w:pPr>
        <w:pStyle w:val="Bibliography"/>
        <w:ind w:left="430" w:hanging="430"/>
      </w:pPr>
      <w:r>
        <w:t xml:space="preserve">[27]</w:t>
      </w:r>
      <w:r>
        <w:t xml:space="preserve"> </w:t>
      </w:r>
      <w:r>
        <w:t xml:space="preserve">	</w:t>
      </w:r>
      <w:r>
        <w:t xml:space="preserve">P. Demetriou, M. Asprou, J. Quirós-Tortós,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“Dynamic</w:t>
      </w:r>
      <w:r>
        <w:t xml:space="preserve"> </w:t>
      </w:r>
      <w:r>
        <w:t xml:space="preserve">IEEE</w:t>
      </w:r>
      <w:r>
        <w:t xml:space="preserve"> </w:t>
      </w:r>
      <w:r>
        <w:t xml:space="preserve">test systems for transient analysis,”</w:t>
      </w:r>
      <w:r>
        <w:t xml:space="preserve"> </w:t>
      </w:r>
      <w:r>
        <w:rPr>
          <w:i/>
          <w:iCs/>
        </w:rPr>
        <w:t xml:space="preserve">IEEE Systems Journal</w:t>
      </w:r>
      <w:r>
        <w:t xml:space="preserve">, vol. 11, no. 4, pp. 2108–2117, 2017, doi:</w:t>
      </w:r>
      <w:r>
        <w:t xml:space="preserve"> </w:t>
      </w:r>
      <w:hyperlink r:id="rId109">
        <w:r>
          <w:rPr>
            <w:rStyle w:val="ab"/>
          </w:rPr>
          <w:t xml:space="preserve">10.1109/JSYST.2015.2444893</w:t>
        </w:r>
      </w:hyperlink>
      <w:r>
        <w:t xml:space="preserve">.</w:t>
      </w:r>
    </w:p>
    <w:bookmarkEnd w:id="110"/>
    <w:bookmarkEnd w:id="111"/>
    <w:bookmarkEnd w:id="112"/>
    <w:sectPr w:rsidR="008F594A" w:rsidRPr="00DC0FAC" w:rsidSect="0090176F">
      <w:headerReference r:id="rId14" w:type="even"/>
      <w:headerReference r:id="rId15" w:type="default"/>
      <w:headerReference r:id="rId16" w:type="first"/>
      <w:footerReference r:id="rId17" w:type="first"/>
      <w:type w:val="continuous"/>
      <w:pgSz w:code="1" w:h="15840" w:w="12240"/>
      <w:pgMar w:bottom="1008" w:footer="432" w:gutter="0" w:header="432" w:left="936" w:right="936" w:top="1008"/>
      <w:cols w:num="2" w:space="28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7" w:usb1="00000000" w:usb2="00000000" w:usb3="00000000" w:csb0="0000019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-Italic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3752" w14:textId="77777777" w:rsidR="00DF4BFA" w:rsidRPr="0090176F" w:rsidRDefault="00DF4BFA" w:rsidP="0090176F">
    <w:pPr>
      <w:pStyle w:val="a7"/>
      <w:jc w:val="center"/>
      <w:rPr>
        <w:sz w:val="16"/>
        <w:szCs w:val="16"/>
      </w:rPr>
    </w:pPr>
  </w:p>
  <w:p w14:paraId="5B16FC76" w14:textId="77777777" w:rsidR="00DF4BFA" w:rsidRDefault="00DF4BFA">
    <w:pPr>
      <w:pStyle w:val="a7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">
    <w:p>
      <w:pPr>
        <w:spacing w:after="0" w:line="240" w:lineRule="auto"/>
      </w:pPr>
      <w:r>
        <w:rPr>
          <w:vertAlign w:val="superscript"/>
        </w:rPr>
        <w:t>∗</w:t>
      </w:r>
      <w:r>
        <w:t xml:space="preserve">Corresponding author. Email address: 3293857014@qq.com (Zhenyu Liu)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635AF" w14:textId="77777777" w:rsidR="00DF4BFA" w:rsidRPr="0090176F" w:rsidRDefault="00DF4BFA">
    <w:pPr>
      <w:pStyle w:val="a9"/>
      <w:rPr>
        <w:sz w:val="16"/>
        <w:szCs w:val="16"/>
      </w:rPr>
    </w:pPr>
    <w:r w:rsidRPr="0090176F">
      <w:rPr>
        <w:sz w:val="16"/>
        <w:szCs w:val="16"/>
      </w:rPr>
      <w:t xml:space="preserve">JOURNAL OF </w:t>
    </w:r>
    <w:r>
      <w:rPr>
        <w:sz w:val="16"/>
        <w:szCs w:val="16"/>
      </w:rPr>
      <w:t xml:space="preserve">MODERN </w:t>
    </w:r>
    <w:r w:rsidRPr="0090176F">
      <w:rPr>
        <w:sz w:val="16"/>
        <w:szCs w:val="16"/>
      </w:rPr>
      <w:t xml:space="preserve">POWER </w:t>
    </w:r>
    <w:r>
      <w:rPr>
        <w:sz w:val="16"/>
        <w:szCs w:val="16"/>
      </w:rPr>
      <w:t xml:space="preserve">SYSTEMS </w:t>
    </w:r>
    <w:r w:rsidRPr="0090176F">
      <w:rPr>
        <w:sz w:val="16"/>
        <w:szCs w:val="16"/>
      </w:rPr>
      <w:t xml:space="preserve">AND </w:t>
    </w:r>
    <w:r>
      <w:rPr>
        <w:sz w:val="16"/>
        <w:szCs w:val="16"/>
      </w:rPr>
      <w:t xml:space="preserve">CLEAN </w:t>
    </w:r>
    <w:r w:rsidRPr="0090176F">
      <w:rPr>
        <w:sz w:val="16"/>
        <w:szCs w:val="16"/>
      </w:rPr>
      <w:t xml:space="preserve">ENERGY, VOL. </w:t>
    </w:r>
    <w:r>
      <w:rPr>
        <w:sz w:val="16"/>
        <w:szCs w:val="16"/>
        <w:lang w:eastAsia="zh-CN"/>
      </w:rPr>
      <w:t>XX</w:t>
    </w:r>
    <w:r w:rsidRPr="0090176F">
      <w:rPr>
        <w:sz w:val="16"/>
        <w:szCs w:val="16"/>
      </w:rPr>
      <w:t>, NO.</w:t>
    </w:r>
    <w:r>
      <w:rPr>
        <w:sz w:val="16"/>
        <w:szCs w:val="16"/>
      </w:rPr>
      <w:t xml:space="preserve"> </w:t>
    </w:r>
    <w:r>
      <w:rPr>
        <w:sz w:val="16"/>
        <w:szCs w:val="16"/>
        <w:lang w:eastAsia="zh-CN"/>
      </w:rPr>
      <w:t>XX</w:t>
    </w:r>
    <w:r>
      <w:rPr>
        <w:sz w:val="16"/>
        <w:szCs w:val="16"/>
      </w:rPr>
      <w:t>, XX XXXX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99BBA" w14:textId="77777777" w:rsidR="00DF4BFA" w:rsidRDefault="00DF4BFA">
    <w:pPr>
      <w:framePr w:wrap="auto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093EC1">
      <w:rPr>
        <w:noProof/>
      </w:rPr>
      <w:t>7</w:t>
    </w:r>
    <w:r>
      <w:rPr>
        <w:noProof/>
      </w:rPr>
      <w:fldChar w:fldCharType="end"/>
    </w:r>
  </w:p>
  <w:p w14:paraId="37481632" w14:textId="77777777" w:rsidR="00DF4BFA" w:rsidRPr="0090176F" w:rsidRDefault="00DF4BFA" w:rsidP="0090176F">
    <w:pPr>
      <w:ind w:right="360"/>
      <w:rPr>
        <w:sz w:val="16"/>
        <w:szCs w:val="16"/>
        <w:lang w:eastAsia="zh-CN"/>
      </w:rPr>
    </w:pPr>
    <w:r w:rsidRPr="0090176F">
      <w:rPr>
        <w:rFonts w:hint="eastAsia"/>
        <w:sz w:val="16"/>
        <w:szCs w:val="16"/>
        <w:lang w:eastAsia="zh-CN"/>
      </w:rPr>
      <w:t>A</w:t>
    </w:r>
    <w:r>
      <w:rPr>
        <w:rFonts w:hint="eastAsia"/>
        <w:sz w:val="16"/>
        <w:szCs w:val="16"/>
        <w:lang w:eastAsia="zh-CN"/>
      </w:rPr>
      <w:t>UTHOR</w:t>
    </w:r>
    <w:r>
      <w:rPr>
        <w:sz w:val="16"/>
        <w:szCs w:val="16"/>
        <w:lang w:eastAsia="zh-CN"/>
      </w:rPr>
      <w:t xml:space="preserve"> </w:t>
    </w:r>
    <w:r w:rsidRPr="0090176F">
      <w:rPr>
        <w:rFonts w:hint="eastAsia"/>
        <w:i/>
        <w:sz w:val="16"/>
        <w:szCs w:val="16"/>
        <w:lang w:eastAsia="zh-CN"/>
      </w:rPr>
      <w:t>et al</w:t>
    </w:r>
    <w:r w:rsidRPr="0090176F">
      <w:rPr>
        <w:rFonts w:hint="eastAsia"/>
        <w:sz w:val="16"/>
        <w:szCs w:val="16"/>
        <w:lang w:eastAsia="zh-CN"/>
      </w:rPr>
      <w:t>.: TITLE IS LIMITED TO 50 WORDS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BC834" w14:textId="77777777" w:rsidR="00DF4BFA" w:rsidRPr="00B33767" w:rsidRDefault="00DF4BFA" w:rsidP="00B33767">
    <w:pPr>
      <w:pStyle w:val="a9"/>
      <w:rPr>
        <w:sz w:val="16"/>
        <w:szCs w:val="16"/>
      </w:rPr>
    </w:pPr>
    <w:r w:rsidRPr="0090176F">
      <w:rPr>
        <w:sz w:val="16"/>
        <w:szCs w:val="16"/>
      </w:rPr>
      <w:t xml:space="preserve">JOURNAL OF </w:t>
    </w:r>
    <w:r>
      <w:rPr>
        <w:sz w:val="16"/>
        <w:szCs w:val="16"/>
      </w:rPr>
      <w:t xml:space="preserve">MODERN </w:t>
    </w:r>
    <w:r w:rsidRPr="0090176F">
      <w:rPr>
        <w:sz w:val="16"/>
        <w:szCs w:val="16"/>
      </w:rPr>
      <w:t xml:space="preserve">POWER </w:t>
    </w:r>
    <w:r>
      <w:rPr>
        <w:sz w:val="16"/>
        <w:szCs w:val="16"/>
      </w:rPr>
      <w:t xml:space="preserve">SYSTEMS </w:t>
    </w:r>
    <w:r w:rsidRPr="0090176F">
      <w:rPr>
        <w:sz w:val="16"/>
        <w:szCs w:val="16"/>
      </w:rPr>
      <w:t xml:space="preserve">AND </w:t>
    </w:r>
    <w:r>
      <w:rPr>
        <w:sz w:val="16"/>
        <w:szCs w:val="16"/>
      </w:rPr>
      <w:t xml:space="preserve">CLEAN </w:t>
    </w:r>
    <w:r w:rsidRPr="0090176F">
      <w:rPr>
        <w:sz w:val="16"/>
        <w:szCs w:val="16"/>
      </w:rPr>
      <w:t xml:space="preserve">ENERGY, VOL. </w:t>
    </w:r>
    <w:r>
      <w:rPr>
        <w:sz w:val="16"/>
        <w:szCs w:val="16"/>
        <w:lang w:eastAsia="zh-CN"/>
      </w:rPr>
      <w:t>XX</w:t>
    </w:r>
    <w:r w:rsidRPr="0090176F">
      <w:rPr>
        <w:sz w:val="16"/>
        <w:szCs w:val="16"/>
      </w:rPr>
      <w:t>, NO.</w:t>
    </w:r>
    <w:r>
      <w:rPr>
        <w:sz w:val="16"/>
        <w:szCs w:val="16"/>
      </w:rPr>
      <w:t xml:space="preserve"> </w:t>
    </w:r>
    <w:r>
      <w:rPr>
        <w:sz w:val="16"/>
        <w:szCs w:val="16"/>
        <w:lang w:eastAsia="zh-CN"/>
      </w:rPr>
      <w:t>XX</w:t>
    </w:r>
    <w:r>
      <w:rPr>
        <w:sz w:val="16"/>
        <w:szCs w:val="16"/>
      </w:rPr>
      <w:t>, XX XXXX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FB"/>
    <w:multiLevelType w:val="multilevel"/>
    <w:tmpl w:val="3BF47C58"/>
    <w:lvl w:ilvl="0">
      <w:start w:val="1"/>
      <w:numFmt w:val="upperRoman"/>
      <w:pStyle w:val="1"/>
      <w:lvlText w:val="%1."/>
      <w:legacy w:legacy="1" w:legacyIndent="144" w:legacySpace="144"/>
      <w:lvlJc w:val="left"/>
    </w:lvl>
    <w:lvl w:ilvl="1">
      <w:start w:val="1"/>
      <w:numFmt w:val="upperLetter"/>
      <w:pStyle w:val="2"/>
      <w:lvlText w:val="%2."/>
      <w:legacy w:legacy="1" w:legacyIndent="144" w:legacySpace="144"/>
      <w:lvlJc w:val="left"/>
      <w:rPr>
        <w:b w:val="0"/>
        <w:i/>
      </w:rPr>
    </w:lvl>
    <w:lvl w:ilvl="2">
      <w:start w:val="1"/>
      <w:numFmt w:val="decimal"/>
      <w:pStyle w:val="3"/>
      <w:lvlText w:val="%3)"/>
      <w:legacy w:legacy="1" w:legacyIndent="144" w:legacySpace="144"/>
      <w:lvlJc w:val="left"/>
      <w:rPr>
        <w:i/>
      </w:rPr>
    </w:lvl>
    <w:lvl w:ilvl="3">
      <w:start w:val="1"/>
      <w:numFmt w:val="lowerLetter"/>
      <w:pStyle w:val="4"/>
      <w:lvlText w:val="%4)"/>
      <w:legacy w:legacy="1" w:legacyIndent="720" w:legacySpace="0"/>
      <w:lvlJc w:val="left"/>
      <w:pPr>
        <w:ind w:hanging="720" w:left="1152"/>
      </w:pPr>
    </w:lvl>
    <w:lvl w:ilvl="4">
      <w:start w:val="1"/>
      <w:numFmt w:val="decimal"/>
      <w:pStyle w:val="5"/>
      <w:lvlText w:val="(%5)"/>
      <w:legacy w:legacy="1" w:legacyIndent="720" w:legacySpace="0"/>
      <w:lvlJc w:val="left"/>
      <w:pPr>
        <w:ind w:hanging="720" w:left="1872"/>
      </w:pPr>
    </w:lvl>
    <w:lvl w:ilvl="5">
      <w:start w:val="1"/>
      <w:numFmt w:val="lowerLetter"/>
      <w:pStyle w:val="6"/>
      <w:lvlText w:val="(%6)"/>
      <w:legacy w:legacy="1" w:legacyIndent="720" w:legacySpace="0"/>
      <w:lvlJc w:val="left"/>
      <w:pPr>
        <w:ind w:hanging="720" w:left="2592"/>
      </w:pPr>
    </w:lvl>
    <w:lvl w:ilvl="6">
      <w:start w:val="1"/>
      <w:numFmt w:val="lowerRoman"/>
      <w:pStyle w:val="7"/>
      <w:lvlText w:val="(%7)"/>
      <w:legacy w:legacy="1" w:legacyIndent="720" w:legacySpace="0"/>
      <w:lvlJc w:val="left"/>
      <w:pPr>
        <w:ind w:hanging="720" w:left="3312"/>
      </w:pPr>
    </w:lvl>
    <w:lvl w:ilvl="7">
      <w:start w:val="1"/>
      <w:numFmt w:val="lowerLetter"/>
      <w:pStyle w:val="8"/>
      <w:lvlText w:val="(%8)"/>
      <w:legacy w:legacy="1" w:legacyIndent="720" w:legacySpace="0"/>
      <w:lvlJc w:val="left"/>
      <w:pPr>
        <w:ind w:hanging="720" w:left="4032"/>
      </w:pPr>
    </w:lvl>
    <w:lvl w:ilvl="8">
      <w:start w:val="1"/>
      <w:numFmt w:val="lowerRoman"/>
      <w:pStyle w:val="9"/>
      <w:lvlText w:val="(%9)"/>
      <w:legacy w:legacy="1" w:legacyIndent="720" w:legacySpace="0"/>
      <w:lvlJc w:val="left"/>
      <w:pPr>
        <w:ind w:hanging="720" w:left="4752"/>
      </w:pPr>
    </w:lvl>
  </w:abstractNum>
  <w:abstractNum w15:restartNumberingAfterBreak="0" w:abstractNumId="1">
    <w:nsid w:val="3A877D64"/>
    <w:multiLevelType w:val="singleLevel"/>
    <w:tmpl w:val="C310E3F4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i w:val="0"/>
      </w:rPr>
    </w:lvl>
  </w:abstractNum>
  <w:abstractNum w15:restartNumberingAfterBreak="0" w:abstractNumId="2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hanging="360" w:left="720"/>
      </w:pPr>
      <w:rPr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69703919" w:numId="1">
    <w:abstractNumId w:val="0"/>
  </w:num>
  <w:num w16cid:durableId="468670773" w:numId="2">
    <w:abstractNumId w:val="1"/>
  </w:num>
  <w:num w16cid:durableId="1499348358" w:numId="3">
    <w:abstractNumId w:val="2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/>
  <w:bordersDoNotSurroundFooter/>
  <w:proofState w:grammar="clean" w:spelling="clean"/>
  <w:stylePaneFormatFilter w:val="0004"/>
  <w:doNotTrackMoves/>
  <w:defaultTabStop w:val="202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493C"/>
    <w:rsid w:val="00012C2A"/>
    <w:rsid w:val="00016894"/>
    <w:rsid w:val="00027DBA"/>
    <w:rsid w:val="00031BA4"/>
    <w:rsid w:val="0003338C"/>
    <w:rsid w:val="00042E13"/>
    <w:rsid w:val="00052679"/>
    <w:rsid w:val="00060137"/>
    <w:rsid w:val="0006159A"/>
    <w:rsid w:val="000653DE"/>
    <w:rsid w:val="00071F63"/>
    <w:rsid w:val="00074CC2"/>
    <w:rsid w:val="00074FFE"/>
    <w:rsid w:val="00076751"/>
    <w:rsid w:val="00081371"/>
    <w:rsid w:val="00085A41"/>
    <w:rsid w:val="000925CD"/>
    <w:rsid w:val="00093EC1"/>
    <w:rsid w:val="00096B72"/>
    <w:rsid w:val="000A01E9"/>
    <w:rsid w:val="000A168B"/>
    <w:rsid w:val="000A6BB6"/>
    <w:rsid w:val="000B53AA"/>
    <w:rsid w:val="000C3C48"/>
    <w:rsid w:val="000D2BDE"/>
    <w:rsid w:val="000D76EB"/>
    <w:rsid w:val="000E41FA"/>
    <w:rsid w:val="00101CF7"/>
    <w:rsid w:val="00104BB0"/>
    <w:rsid w:val="0010794E"/>
    <w:rsid w:val="0013354F"/>
    <w:rsid w:val="00143F2E"/>
    <w:rsid w:val="00144E72"/>
    <w:rsid w:val="001462F5"/>
    <w:rsid w:val="00150FFB"/>
    <w:rsid w:val="001547B6"/>
    <w:rsid w:val="0017279F"/>
    <w:rsid w:val="001768FF"/>
    <w:rsid w:val="0018440A"/>
    <w:rsid w:val="001847C1"/>
    <w:rsid w:val="00195A1B"/>
    <w:rsid w:val="00195D57"/>
    <w:rsid w:val="001A0890"/>
    <w:rsid w:val="001A60B1"/>
    <w:rsid w:val="001B36B1"/>
    <w:rsid w:val="001B54EF"/>
    <w:rsid w:val="001B6C20"/>
    <w:rsid w:val="001C4868"/>
    <w:rsid w:val="001E16E2"/>
    <w:rsid w:val="001E42A0"/>
    <w:rsid w:val="001E7B7A"/>
    <w:rsid w:val="001F4C5C"/>
    <w:rsid w:val="00204478"/>
    <w:rsid w:val="002074B9"/>
    <w:rsid w:val="00214267"/>
    <w:rsid w:val="00214E2E"/>
    <w:rsid w:val="00216141"/>
    <w:rsid w:val="00217186"/>
    <w:rsid w:val="002234B3"/>
    <w:rsid w:val="002236DD"/>
    <w:rsid w:val="002236F4"/>
    <w:rsid w:val="00227835"/>
    <w:rsid w:val="00232E4D"/>
    <w:rsid w:val="0023739E"/>
    <w:rsid w:val="002434A1"/>
    <w:rsid w:val="002541A9"/>
    <w:rsid w:val="00263943"/>
    <w:rsid w:val="00267B35"/>
    <w:rsid w:val="00272D29"/>
    <w:rsid w:val="00293EE3"/>
    <w:rsid w:val="0029588F"/>
    <w:rsid w:val="002B2EBF"/>
    <w:rsid w:val="002B6E3E"/>
    <w:rsid w:val="002C0742"/>
    <w:rsid w:val="002C535E"/>
    <w:rsid w:val="002D446B"/>
    <w:rsid w:val="002D545D"/>
    <w:rsid w:val="002E3279"/>
    <w:rsid w:val="002E4083"/>
    <w:rsid w:val="002E5D98"/>
    <w:rsid w:val="002F4B1C"/>
    <w:rsid w:val="002F7910"/>
    <w:rsid w:val="00310481"/>
    <w:rsid w:val="00321F34"/>
    <w:rsid w:val="00324617"/>
    <w:rsid w:val="00327338"/>
    <w:rsid w:val="00330F15"/>
    <w:rsid w:val="00337D9D"/>
    <w:rsid w:val="003427CE"/>
    <w:rsid w:val="00343298"/>
    <w:rsid w:val="00346A8D"/>
    <w:rsid w:val="00350C38"/>
    <w:rsid w:val="00360269"/>
    <w:rsid w:val="00360C18"/>
    <w:rsid w:val="00360F2F"/>
    <w:rsid w:val="00366A33"/>
    <w:rsid w:val="0037551B"/>
    <w:rsid w:val="0037764C"/>
    <w:rsid w:val="00392DBA"/>
    <w:rsid w:val="003A2F06"/>
    <w:rsid w:val="003B086E"/>
    <w:rsid w:val="003B1761"/>
    <w:rsid w:val="003B6BA0"/>
    <w:rsid w:val="003B7F1E"/>
    <w:rsid w:val="003C0D22"/>
    <w:rsid w:val="003C21E3"/>
    <w:rsid w:val="003C3322"/>
    <w:rsid w:val="003C68C2"/>
    <w:rsid w:val="003D0786"/>
    <w:rsid w:val="003D251C"/>
    <w:rsid w:val="003D4CAE"/>
    <w:rsid w:val="003D5C61"/>
    <w:rsid w:val="003E2626"/>
    <w:rsid w:val="003E4B31"/>
    <w:rsid w:val="003F0899"/>
    <w:rsid w:val="003F26BD"/>
    <w:rsid w:val="003F52AD"/>
    <w:rsid w:val="00407B4D"/>
    <w:rsid w:val="0043144F"/>
    <w:rsid w:val="00431BFA"/>
    <w:rsid w:val="004353CF"/>
    <w:rsid w:val="00454818"/>
    <w:rsid w:val="004631BC"/>
    <w:rsid w:val="0047684F"/>
    <w:rsid w:val="00484761"/>
    <w:rsid w:val="00484DD5"/>
    <w:rsid w:val="00486531"/>
    <w:rsid w:val="004976D6"/>
    <w:rsid w:val="004A28A2"/>
    <w:rsid w:val="004B233E"/>
    <w:rsid w:val="004C1E16"/>
    <w:rsid w:val="004C2543"/>
    <w:rsid w:val="004C2EEA"/>
    <w:rsid w:val="004D15CA"/>
    <w:rsid w:val="004E0899"/>
    <w:rsid w:val="004E3E4C"/>
    <w:rsid w:val="004F23A0"/>
    <w:rsid w:val="004F2C4C"/>
    <w:rsid w:val="005003E3"/>
    <w:rsid w:val="00502000"/>
    <w:rsid w:val="005052CD"/>
    <w:rsid w:val="005149A7"/>
    <w:rsid w:val="0052018F"/>
    <w:rsid w:val="0052317A"/>
    <w:rsid w:val="00534C34"/>
    <w:rsid w:val="00536672"/>
    <w:rsid w:val="00536C8D"/>
    <w:rsid w:val="00547BFF"/>
    <w:rsid w:val="00550776"/>
    <w:rsid w:val="00550A26"/>
    <w:rsid w:val="00550BF5"/>
    <w:rsid w:val="0055178D"/>
    <w:rsid w:val="005540A4"/>
    <w:rsid w:val="005566B9"/>
    <w:rsid w:val="00560EF8"/>
    <w:rsid w:val="005618C9"/>
    <w:rsid w:val="00566AF0"/>
    <w:rsid w:val="00567A70"/>
    <w:rsid w:val="00596E14"/>
    <w:rsid w:val="005A1A8A"/>
    <w:rsid w:val="005A1C46"/>
    <w:rsid w:val="005A2A15"/>
    <w:rsid w:val="005A3CEE"/>
    <w:rsid w:val="005B020F"/>
    <w:rsid w:val="005B708C"/>
    <w:rsid w:val="005C1AAE"/>
    <w:rsid w:val="005C54D3"/>
    <w:rsid w:val="005D1B15"/>
    <w:rsid w:val="005D2824"/>
    <w:rsid w:val="005D4F1A"/>
    <w:rsid w:val="005D72BB"/>
    <w:rsid w:val="005E692F"/>
    <w:rsid w:val="005F199C"/>
    <w:rsid w:val="005F3CF5"/>
    <w:rsid w:val="0062114B"/>
    <w:rsid w:val="00623698"/>
    <w:rsid w:val="00625E96"/>
    <w:rsid w:val="00627DF3"/>
    <w:rsid w:val="00636BC6"/>
    <w:rsid w:val="00641435"/>
    <w:rsid w:val="00647C09"/>
    <w:rsid w:val="006505D4"/>
    <w:rsid w:val="00651F2C"/>
    <w:rsid w:val="00664721"/>
    <w:rsid w:val="00671653"/>
    <w:rsid w:val="006716E2"/>
    <w:rsid w:val="00680E25"/>
    <w:rsid w:val="00686DAF"/>
    <w:rsid w:val="00693D5D"/>
    <w:rsid w:val="00693D7C"/>
    <w:rsid w:val="00695822"/>
    <w:rsid w:val="006B7F03"/>
    <w:rsid w:val="006F3D18"/>
    <w:rsid w:val="00703BB7"/>
    <w:rsid w:val="0070431D"/>
    <w:rsid w:val="00707E3A"/>
    <w:rsid w:val="0071566D"/>
    <w:rsid w:val="00725B45"/>
    <w:rsid w:val="00732BEA"/>
    <w:rsid w:val="00741BFB"/>
    <w:rsid w:val="00742FAC"/>
    <w:rsid w:val="0074318D"/>
    <w:rsid w:val="00744789"/>
    <w:rsid w:val="007464FC"/>
    <w:rsid w:val="007465ED"/>
    <w:rsid w:val="00753BCB"/>
    <w:rsid w:val="007604BC"/>
    <w:rsid w:val="00763FAF"/>
    <w:rsid w:val="00765BCD"/>
    <w:rsid w:val="00771584"/>
    <w:rsid w:val="00794AAC"/>
    <w:rsid w:val="00797015"/>
    <w:rsid w:val="007A19C5"/>
    <w:rsid w:val="007A4B36"/>
    <w:rsid w:val="007C282B"/>
    <w:rsid w:val="007C2DB4"/>
    <w:rsid w:val="007C3B63"/>
    <w:rsid w:val="007C4336"/>
    <w:rsid w:val="007E0DE0"/>
    <w:rsid w:val="007F6548"/>
    <w:rsid w:val="007F7AA6"/>
    <w:rsid w:val="00823624"/>
    <w:rsid w:val="0082763D"/>
    <w:rsid w:val="00827957"/>
    <w:rsid w:val="00833816"/>
    <w:rsid w:val="00837E47"/>
    <w:rsid w:val="00841E94"/>
    <w:rsid w:val="008432C8"/>
    <w:rsid w:val="008518FE"/>
    <w:rsid w:val="008546DA"/>
    <w:rsid w:val="0085659C"/>
    <w:rsid w:val="00856A6C"/>
    <w:rsid w:val="00872026"/>
    <w:rsid w:val="0087792E"/>
    <w:rsid w:val="008806AA"/>
    <w:rsid w:val="00883EAF"/>
    <w:rsid w:val="00885258"/>
    <w:rsid w:val="00887F87"/>
    <w:rsid w:val="008A1E38"/>
    <w:rsid w:val="008A30C3"/>
    <w:rsid w:val="008A3C23"/>
    <w:rsid w:val="008A7BF7"/>
    <w:rsid w:val="008B21E0"/>
    <w:rsid w:val="008B2DF9"/>
    <w:rsid w:val="008B48E1"/>
    <w:rsid w:val="008C49CC"/>
    <w:rsid w:val="008D024F"/>
    <w:rsid w:val="008D274F"/>
    <w:rsid w:val="008D69E9"/>
    <w:rsid w:val="008E0645"/>
    <w:rsid w:val="008F1293"/>
    <w:rsid w:val="008F594A"/>
    <w:rsid w:val="0090176F"/>
    <w:rsid w:val="00902A8C"/>
    <w:rsid w:val="00904C7E"/>
    <w:rsid w:val="0091035B"/>
    <w:rsid w:val="00913CE3"/>
    <w:rsid w:val="00927773"/>
    <w:rsid w:val="00932F2F"/>
    <w:rsid w:val="00936B9F"/>
    <w:rsid w:val="0094138D"/>
    <w:rsid w:val="009518A0"/>
    <w:rsid w:val="00952B61"/>
    <w:rsid w:val="00986475"/>
    <w:rsid w:val="00987F6E"/>
    <w:rsid w:val="009904A8"/>
    <w:rsid w:val="009908E2"/>
    <w:rsid w:val="00990BEB"/>
    <w:rsid w:val="009A1F6E"/>
    <w:rsid w:val="009C7D17"/>
    <w:rsid w:val="009D21CF"/>
    <w:rsid w:val="009E2872"/>
    <w:rsid w:val="009E2BE3"/>
    <w:rsid w:val="009E484E"/>
    <w:rsid w:val="009F10FB"/>
    <w:rsid w:val="009F219C"/>
    <w:rsid w:val="009F40FB"/>
    <w:rsid w:val="00A03D2E"/>
    <w:rsid w:val="00A12A26"/>
    <w:rsid w:val="00A22FCB"/>
    <w:rsid w:val="00A31751"/>
    <w:rsid w:val="00A32331"/>
    <w:rsid w:val="00A327D2"/>
    <w:rsid w:val="00A360AF"/>
    <w:rsid w:val="00A37EE2"/>
    <w:rsid w:val="00A430DB"/>
    <w:rsid w:val="00A43383"/>
    <w:rsid w:val="00A472F1"/>
    <w:rsid w:val="00A5237D"/>
    <w:rsid w:val="00A554A3"/>
    <w:rsid w:val="00A55CBB"/>
    <w:rsid w:val="00A5745B"/>
    <w:rsid w:val="00A64B2E"/>
    <w:rsid w:val="00A673D9"/>
    <w:rsid w:val="00A71E6D"/>
    <w:rsid w:val="00A72D61"/>
    <w:rsid w:val="00A73F4C"/>
    <w:rsid w:val="00A758EA"/>
    <w:rsid w:val="00A83F22"/>
    <w:rsid w:val="00A8697D"/>
    <w:rsid w:val="00A95C50"/>
    <w:rsid w:val="00AA654D"/>
    <w:rsid w:val="00AB4036"/>
    <w:rsid w:val="00AB46AA"/>
    <w:rsid w:val="00AB79A6"/>
    <w:rsid w:val="00AC12AB"/>
    <w:rsid w:val="00AC465D"/>
    <w:rsid w:val="00AC4850"/>
    <w:rsid w:val="00AC6344"/>
    <w:rsid w:val="00AC6B3A"/>
    <w:rsid w:val="00AC7A86"/>
    <w:rsid w:val="00AD2424"/>
    <w:rsid w:val="00AD50B2"/>
    <w:rsid w:val="00AD5D94"/>
    <w:rsid w:val="00AE4A48"/>
    <w:rsid w:val="00B004C9"/>
    <w:rsid w:val="00B10C25"/>
    <w:rsid w:val="00B1297F"/>
    <w:rsid w:val="00B334F8"/>
    <w:rsid w:val="00B33767"/>
    <w:rsid w:val="00B4216C"/>
    <w:rsid w:val="00B47B59"/>
    <w:rsid w:val="00B53F81"/>
    <w:rsid w:val="00B56C2B"/>
    <w:rsid w:val="00B65BD3"/>
    <w:rsid w:val="00B70469"/>
    <w:rsid w:val="00B72DD8"/>
    <w:rsid w:val="00B72E09"/>
    <w:rsid w:val="00B74715"/>
    <w:rsid w:val="00B77E26"/>
    <w:rsid w:val="00B82F17"/>
    <w:rsid w:val="00B93999"/>
    <w:rsid w:val="00BA1F7E"/>
    <w:rsid w:val="00BB1957"/>
    <w:rsid w:val="00BB42C4"/>
    <w:rsid w:val="00BB6248"/>
    <w:rsid w:val="00BB7938"/>
    <w:rsid w:val="00BC2FC1"/>
    <w:rsid w:val="00BD0812"/>
    <w:rsid w:val="00BD41C5"/>
    <w:rsid w:val="00BD44A2"/>
    <w:rsid w:val="00BE6B2F"/>
    <w:rsid w:val="00BF0C69"/>
    <w:rsid w:val="00BF629B"/>
    <w:rsid w:val="00BF655C"/>
    <w:rsid w:val="00C06DC5"/>
    <w:rsid w:val="00C075EF"/>
    <w:rsid w:val="00C10FD1"/>
    <w:rsid w:val="00C11E83"/>
    <w:rsid w:val="00C2378A"/>
    <w:rsid w:val="00C2495E"/>
    <w:rsid w:val="00C36176"/>
    <w:rsid w:val="00C378A1"/>
    <w:rsid w:val="00C40A00"/>
    <w:rsid w:val="00C613EB"/>
    <w:rsid w:val="00C621D6"/>
    <w:rsid w:val="00C675A6"/>
    <w:rsid w:val="00C77059"/>
    <w:rsid w:val="00C82D86"/>
    <w:rsid w:val="00C910C1"/>
    <w:rsid w:val="00C916E5"/>
    <w:rsid w:val="00C94E10"/>
    <w:rsid w:val="00CA5204"/>
    <w:rsid w:val="00CB4B8D"/>
    <w:rsid w:val="00CC0DDA"/>
    <w:rsid w:val="00CD0EFF"/>
    <w:rsid w:val="00CD4119"/>
    <w:rsid w:val="00CD4745"/>
    <w:rsid w:val="00CD684F"/>
    <w:rsid w:val="00CE1D32"/>
    <w:rsid w:val="00CE651B"/>
    <w:rsid w:val="00CF7B0C"/>
    <w:rsid w:val="00D06623"/>
    <w:rsid w:val="00D10275"/>
    <w:rsid w:val="00D14C6B"/>
    <w:rsid w:val="00D2069A"/>
    <w:rsid w:val="00D2300E"/>
    <w:rsid w:val="00D41F82"/>
    <w:rsid w:val="00D443FD"/>
    <w:rsid w:val="00D5536F"/>
    <w:rsid w:val="00D56340"/>
    <w:rsid w:val="00D56935"/>
    <w:rsid w:val="00D56E6C"/>
    <w:rsid w:val="00D758C6"/>
    <w:rsid w:val="00D77777"/>
    <w:rsid w:val="00D830CC"/>
    <w:rsid w:val="00D906B9"/>
    <w:rsid w:val="00D90C10"/>
    <w:rsid w:val="00D92E96"/>
    <w:rsid w:val="00D978D6"/>
    <w:rsid w:val="00DA258C"/>
    <w:rsid w:val="00DA5885"/>
    <w:rsid w:val="00DC0FAC"/>
    <w:rsid w:val="00DC5FBA"/>
    <w:rsid w:val="00DE07FA"/>
    <w:rsid w:val="00DE3432"/>
    <w:rsid w:val="00DE3B82"/>
    <w:rsid w:val="00DE5948"/>
    <w:rsid w:val="00DF096C"/>
    <w:rsid w:val="00DF2919"/>
    <w:rsid w:val="00DF2DDE"/>
    <w:rsid w:val="00DF49B8"/>
    <w:rsid w:val="00DF4BFA"/>
    <w:rsid w:val="00E013CF"/>
    <w:rsid w:val="00E01667"/>
    <w:rsid w:val="00E1553F"/>
    <w:rsid w:val="00E212CF"/>
    <w:rsid w:val="00E32F38"/>
    <w:rsid w:val="00E36209"/>
    <w:rsid w:val="00E420BB"/>
    <w:rsid w:val="00E50DF6"/>
    <w:rsid w:val="00E615DF"/>
    <w:rsid w:val="00E6438A"/>
    <w:rsid w:val="00E660D9"/>
    <w:rsid w:val="00E8116E"/>
    <w:rsid w:val="00E8151C"/>
    <w:rsid w:val="00E965C5"/>
    <w:rsid w:val="00E96A3A"/>
    <w:rsid w:val="00E97402"/>
    <w:rsid w:val="00E97B99"/>
    <w:rsid w:val="00EA3549"/>
    <w:rsid w:val="00EA4BDF"/>
    <w:rsid w:val="00EA6513"/>
    <w:rsid w:val="00EB0D5D"/>
    <w:rsid w:val="00EB2E9D"/>
    <w:rsid w:val="00EB3F98"/>
    <w:rsid w:val="00EC18E1"/>
    <w:rsid w:val="00EC2264"/>
    <w:rsid w:val="00EC3DAF"/>
    <w:rsid w:val="00EC4468"/>
    <w:rsid w:val="00ED3C77"/>
    <w:rsid w:val="00EE589F"/>
    <w:rsid w:val="00EE6FFC"/>
    <w:rsid w:val="00EF10A0"/>
    <w:rsid w:val="00EF10AC"/>
    <w:rsid w:val="00EF3110"/>
    <w:rsid w:val="00EF39B0"/>
    <w:rsid w:val="00EF4701"/>
    <w:rsid w:val="00EF564E"/>
    <w:rsid w:val="00F01019"/>
    <w:rsid w:val="00F036AB"/>
    <w:rsid w:val="00F03A82"/>
    <w:rsid w:val="00F132C6"/>
    <w:rsid w:val="00F22198"/>
    <w:rsid w:val="00F232BD"/>
    <w:rsid w:val="00F33D49"/>
    <w:rsid w:val="00F3481E"/>
    <w:rsid w:val="00F5113E"/>
    <w:rsid w:val="00F521F4"/>
    <w:rsid w:val="00F52E61"/>
    <w:rsid w:val="00F577F6"/>
    <w:rsid w:val="00F62275"/>
    <w:rsid w:val="00F65266"/>
    <w:rsid w:val="00F700B7"/>
    <w:rsid w:val="00F74D3C"/>
    <w:rsid w:val="00F751E1"/>
    <w:rsid w:val="00F91F66"/>
    <w:rsid w:val="00FA7CF9"/>
    <w:rsid w:val="00FC0453"/>
    <w:rsid w:val="00FC0983"/>
    <w:rsid w:val="00FC3F89"/>
    <w:rsid w:val="00FC496C"/>
    <w:rsid w:val="00FC4DE1"/>
    <w:rsid w:val="00FD347F"/>
    <w:rsid w:val="00FE3FA6"/>
    <w:rsid w:val="00FF164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宋体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1E42A0"/>
  </w:style>
  <w:style w:styleId="1" w:type="paragraph">
    <w:name w:val="heading 1"/>
    <w:basedOn w:val="a"/>
    <w:next w:val="a"/>
    <w:link w:val="10"/>
    <w:uiPriority w:val="9"/>
    <w:qFormat/>
    <w:rsid w:val="001E42A0"/>
    <w:pPr>
      <w:keepNext/>
      <w:numPr>
        <w:numId w:val="1"/>
      </w:numPr>
      <w:spacing w:after="80" w:before="240"/>
      <w:jc w:val="center"/>
      <w:outlineLvl w:val="0"/>
    </w:pPr>
    <w:rPr>
      <w:smallCaps/>
      <w:kern w:val="28"/>
    </w:rPr>
  </w:style>
  <w:style w:styleId="2" w:type="paragraph">
    <w:name w:val="heading 2"/>
    <w:basedOn w:val="a"/>
    <w:next w:val="a"/>
    <w:link w:val="20"/>
    <w:uiPriority w:val="9"/>
    <w:qFormat/>
    <w:rsid w:val="001E42A0"/>
    <w:pPr>
      <w:keepNext/>
      <w:numPr>
        <w:ilvl w:val="1"/>
        <w:numId w:val="1"/>
      </w:numPr>
      <w:spacing w:after="60" w:before="120"/>
      <w:outlineLvl w:val="1"/>
    </w:pPr>
    <w:rPr>
      <w:i/>
      <w:iCs/>
    </w:rPr>
  </w:style>
  <w:style w:styleId="3" w:type="paragraph">
    <w:name w:val="heading 3"/>
    <w:basedOn w:val="a"/>
    <w:next w:val="a"/>
    <w:uiPriority w:val="9"/>
    <w:qFormat/>
    <w:rsid w:val="001E42A0"/>
    <w:pPr>
      <w:keepNext/>
      <w:numPr>
        <w:ilvl w:val="2"/>
        <w:numId w:val="1"/>
      </w:numPr>
      <w:outlineLvl w:val="2"/>
    </w:pPr>
    <w:rPr>
      <w:i/>
      <w:iCs/>
    </w:rPr>
  </w:style>
  <w:style w:styleId="4" w:type="paragraph">
    <w:name w:val="heading 4"/>
    <w:basedOn w:val="a"/>
    <w:next w:val="a"/>
    <w:uiPriority w:val="9"/>
    <w:qFormat/>
    <w:rsid w:val="001E42A0"/>
    <w:pPr>
      <w:keepNext/>
      <w:numPr>
        <w:ilvl w:val="3"/>
        <w:numId w:val="1"/>
      </w:numPr>
      <w:spacing w:after="60" w:before="240"/>
      <w:outlineLvl w:val="3"/>
    </w:pPr>
    <w:rPr>
      <w:i/>
      <w:iCs/>
      <w:sz w:val="18"/>
      <w:szCs w:val="18"/>
    </w:rPr>
  </w:style>
  <w:style w:styleId="5" w:type="paragraph">
    <w:name w:val="heading 5"/>
    <w:basedOn w:val="a"/>
    <w:next w:val="a"/>
    <w:uiPriority w:val="9"/>
    <w:qFormat/>
    <w:rsid w:val="001E42A0"/>
    <w:pPr>
      <w:numPr>
        <w:ilvl w:val="4"/>
        <w:numId w:val="1"/>
      </w:numPr>
      <w:spacing w:after="60" w:before="240"/>
      <w:outlineLvl w:val="4"/>
    </w:pPr>
    <w:rPr>
      <w:sz w:val="18"/>
      <w:szCs w:val="18"/>
    </w:rPr>
  </w:style>
  <w:style w:styleId="6" w:type="paragraph">
    <w:name w:val="heading 6"/>
    <w:basedOn w:val="a"/>
    <w:next w:val="a"/>
    <w:uiPriority w:val="9"/>
    <w:qFormat/>
    <w:rsid w:val="001E42A0"/>
    <w:pPr>
      <w:numPr>
        <w:ilvl w:val="5"/>
        <w:numId w:val="1"/>
      </w:numPr>
      <w:spacing w:after="60" w:before="240"/>
      <w:outlineLvl w:val="5"/>
    </w:pPr>
    <w:rPr>
      <w:i/>
      <w:iCs/>
      <w:sz w:val="16"/>
      <w:szCs w:val="16"/>
    </w:rPr>
  </w:style>
  <w:style w:styleId="7" w:type="paragraph">
    <w:name w:val="heading 7"/>
    <w:basedOn w:val="a"/>
    <w:next w:val="a"/>
    <w:uiPriority w:val="9"/>
    <w:qFormat/>
    <w:rsid w:val="001E42A0"/>
    <w:pPr>
      <w:numPr>
        <w:ilvl w:val="6"/>
        <w:numId w:val="1"/>
      </w:numPr>
      <w:spacing w:after="60" w:before="240"/>
      <w:outlineLvl w:val="6"/>
    </w:pPr>
    <w:rPr>
      <w:sz w:val="16"/>
      <w:szCs w:val="16"/>
    </w:rPr>
  </w:style>
  <w:style w:styleId="8" w:type="paragraph">
    <w:name w:val="heading 8"/>
    <w:basedOn w:val="a"/>
    <w:next w:val="a"/>
    <w:uiPriority w:val="9"/>
    <w:qFormat/>
    <w:rsid w:val="001E42A0"/>
    <w:pPr>
      <w:numPr>
        <w:ilvl w:val="7"/>
        <w:numId w:val="1"/>
      </w:numPr>
      <w:spacing w:after="60" w:before="240"/>
      <w:outlineLvl w:val="7"/>
    </w:pPr>
    <w:rPr>
      <w:i/>
      <w:iCs/>
      <w:sz w:val="16"/>
      <w:szCs w:val="16"/>
    </w:rPr>
  </w:style>
  <w:style w:styleId="9" w:type="paragraph">
    <w:name w:val="heading 9"/>
    <w:basedOn w:val="a"/>
    <w:next w:val="a"/>
    <w:uiPriority w:val="9"/>
    <w:qFormat/>
    <w:rsid w:val="001E42A0"/>
    <w:pPr>
      <w:numPr>
        <w:ilvl w:val="8"/>
        <w:numId w:val="1"/>
      </w:numPr>
      <w:spacing w:after="60" w:before="240"/>
      <w:outlineLvl w:val="8"/>
    </w:pPr>
    <w:rPr>
      <w:sz w:val="16"/>
      <w:szCs w:val="1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Abstract" w:type="paragraph">
    <w:name w:val="Abstract"/>
    <w:basedOn w:val="a"/>
    <w:next w:val="a"/>
    <w:rsid w:val="001E42A0"/>
    <w:pPr>
      <w:spacing w:before="20"/>
      <w:ind w:firstLine="202"/>
      <w:jc w:val="both"/>
    </w:pPr>
    <w:rPr>
      <w:b/>
      <w:bCs/>
      <w:sz w:val="18"/>
      <w:szCs w:val="18"/>
    </w:rPr>
  </w:style>
  <w:style w:customStyle="1" w:styleId="Authors" w:type="paragraph">
    <w:name w:val="Authors"/>
    <w:basedOn w:val="a"/>
    <w:next w:val="a"/>
    <w:rsid w:val="001E42A0"/>
    <w:pPr>
      <w:framePr w:hAnchor="page" w:hSpace="187" w:vAnchor="text" w:vSpace="187" w:w="9072" w:wrap="notBeside" w:xAlign="center" w:y="1"/>
      <w:spacing w:after="320"/>
      <w:jc w:val="center"/>
    </w:pPr>
    <w:rPr>
      <w:sz w:val="22"/>
      <w:szCs w:val="22"/>
    </w:rPr>
  </w:style>
  <w:style w:customStyle="1" w:styleId="MemberType" w:type="character">
    <w:name w:val="MemberType"/>
    <w:basedOn w:val="a0"/>
    <w:rsid w:val="001E42A0"/>
    <w:rPr>
      <w:rFonts w:ascii="Times New Roman" w:cs="Times New Roman" w:hAnsi="Times New Roman"/>
      <w:i/>
      <w:iCs/>
      <w:sz w:val="22"/>
      <w:szCs w:val="22"/>
    </w:rPr>
  </w:style>
  <w:style w:styleId="a3" w:type="paragraph">
    <w:name w:val="Title"/>
    <w:basedOn w:val="a"/>
    <w:next w:val="a"/>
    <w:qFormat/>
    <w:rsid w:val="001E42A0"/>
    <w:pPr>
      <w:framePr w:hAnchor="page" w:hSpace="187" w:vAnchor="text" w:vSpace="187" w:w="9360" w:wrap="notBeside" w:xAlign="center" w:y="1"/>
      <w:jc w:val="center"/>
    </w:pPr>
    <w:rPr>
      <w:kern w:val="28"/>
      <w:sz w:val="48"/>
      <w:szCs w:val="48"/>
    </w:rPr>
  </w:style>
  <w:style w:styleId="a4" w:type="paragraph">
    <w:name w:val="footnote text"/>
    <w:basedOn w:val="a"/>
    <w:link w:val="a5"/>
    <w:semiHidden/>
    <w:rsid w:val="001E42A0"/>
    <w:pPr>
      <w:ind w:firstLine="202"/>
      <w:jc w:val="both"/>
    </w:pPr>
    <w:rPr>
      <w:sz w:val="16"/>
      <w:szCs w:val="16"/>
    </w:rPr>
  </w:style>
  <w:style w:customStyle="1" w:styleId="References" w:type="paragraph">
    <w:name w:val="References"/>
    <w:basedOn w:val="a"/>
    <w:rsid w:val="001E42A0"/>
    <w:pPr>
      <w:numPr>
        <w:numId w:val="2"/>
      </w:numPr>
      <w:jc w:val="both"/>
    </w:pPr>
    <w:rPr>
      <w:sz w:val="16"/>
      <w:szCs w:val="16"/>
    </w:rPr>
  </w:style>
  <w:style w:customStyle="1" w:styleId="IndexTerms" w:type="paragraph">
    <w:name w:val="IndexTerms"/>
    <w:basedOn w:val="a"/>
    <w:next w:val="a"/>
    <w:rsid w:val="001E42A0"/>
    <w:pPr>
      <w:ind w:firstLine="202"/>
      <w:jc w:val="both"/>
    </w:pPr>
    <w:rPr>
      <w:b/>
      <w:bCs/>
      <w:sz w:val="18"/>
      <w:szCs w:val="18"/>
    </w:rPr>
  </w:style>
  <w:style w:styleId="a6" w:type="character">
    <w:name w:val="footnote reference"/>
    <w:basedOn w:val="a0"/>
    <w:semiHidden/>
    <w:rsid w:val="001E42A0"/>
    <w:rPr>
      <w:vertAlign w:val="superscript"/>
    </w:rPr>
  </w:style>
  <w:style w:styleId="a7" w:type="paragraph">
    <w:name w:val="footer"/>
    <w:basedOn w:val="a"/>
    <w:link w:val="a8"/>
    <w:uiPriority w:val="99"/>
    <w:rsid w:val="001E42A0"/>
    <w:pPr>
      <w:tabs>
        <w:tab w:pos="4320" w:val="center"/>
        <w:tab w:pos="8640" w:val="right"/>
      </w:tabs>
    </w:pPr>
  </w:style>
  <w:style w:customStyle="1" w:styleId="Text" w:type="paragraph">
    <w:name w:val="Text"/>
    <w:basedOn w:val="a"/>
    <w:rsid w:val="001E42A0"/>
    <w:pPr>
      <w:widowControl w:val="0"/>
      <w:spacing w:line="252" w:lineRule="auto"/>
      <w:ind w:firstLine="202"/>
      <w:jc w:val="both"/>
    </w:pPr>
  </w:style>
  <w:style w:customStyle="1" w:styleId="FigureCaption" w:type="paragraph">
    <w:name w:val="Figure Caption"/>
    <w:basedOn w:val="a"/>
    <w:rsid w:val="001E42A0"/>
    <w:pPr>
      <w:jc w:val="both"/>
    </w:pPr>
    <w:rPr>
      <w:sz w:val="16"/>
      <w:szCs w:val="16"/>
    </w:rPr>
  </w:style>
  <w:style w:customStyle="1" w:styleId="TableTitle" w:type="paragraph">
    <w:name w:val="Table Title"/>
    <w:basedOn w:val="a"/>
    <w:rsid w:val="001E42A0"/>
    <w:pPr>
      <w:jc w:val="center"/>
    </w:pPr>
    <w:rPr>
      <w:smallCaps/>
      <w:sz w:val="16"/>
      <w:szCs w:val="16"/>
    </w:rPr>
  </w:style>
  <w:style w:customStyle="1" w:styleId="ReferenceHead" w:type="paragraph">
    <w:name w:val="Reference Head"/>
    <w:basedOn w:val="1"/>
    <w:link w:val="ReferenceHeadChar"/>
    <w:rsid w:val="001E42A0"/>
    <w:pPr>
      <w:numPr>
        <w:numId w:val="0"/>
      </w:numPr>
    </w:pPr>
  </w:style>
  <w:style w:styleId="a9" w:type="paragraph">
    <w:name w:val="header"/>
    <w:basedOn w:val="a"/>
    <w:link w:val="aa"/>
    <w:uiPriority w:val="99"/>
    <w:rsid w:val="001E42A0"/>
    <w:pPr>
      <w:tabs>
        <w:tab w:pos="4320" w:val="center"/>
        <w:tab w:pos="8640" w:val="right"/>
      </w:tabs>
    </w:pPr>
  </w:style>
  <w:style w:customStyle="1" w:styleId="Equation" w:type="paragraph">
    <w:name w:val="Equation"/>
    <w:basedOn w:val="a"/>
    <w:next w:val="a"/>
    <w:rsid w:val="001E42A0"/>
    <w:pPr>
      <w:widowControl w:val="0"/>
      <w:tabs>
        <w:tab w:pos="5040" w:val="right"/>
      </w:tabs>
      <w:spacing w:line="252" w:lineRule="auto"/>
      <w:jc w:val="both"/>
    </w:pPr>
  </w:style>
  <w:style w:styleId="ab" w:type="character">
    <w:name w:val="Hyperlink"/>
    <w:basedOn w:val="a0"/>
    <w:rsid w:val="001E42A0"/>
    <w:rPr>
      <w:color w:val="0000FF"/>
      <w:u w:val="single"/>
    </w:rPr>
  </w:style>
  <w:style w:styleId="ac" w:type="character">
    <w:name w:val="FollowedHyperlink"/>
    <w:basedOn w:val="a0"/>
    <w:rsid w:val="001E42A0"/>
    <w:rPr>
      <w:color w:val="800080"/>
      <w:u w:val="single"/>
    </w:rPr>
  </w:style>
  <w:style w:styleId="ad" w:type="paragraph">
    <w:name w:val="Body Text Indent"/>
    <w:basedOn w:val="a"/>
    <w:link w:val="ae"/>
    <w:rsid w:val="001E42A0"/>
    <w:pPr>
      <w:ind w:hanging="630" w:left="630"/>
    </w:pPr>
    <w:rPr>
      <w:szCs w:val="24"/>
    </w:rPr>
  </w:style>
  <w:style w:styleId="af" w:type="paragraph">
    <w:name w:val="Document Map"/>
    <w:basedOn w:val="a"/>
    <w:semiHidden/>
    <w:rsid w:val="00DC5FC7"/>
    <w:pPr>
      <w:shd w:color="auto" w:fill="000080" w:val="clear"/>
    </w:pPr>
    <w:rPr>
      <w:rFonts w:ascii="Tahoma" w:cs="Tahoma" w:hAnsi="Tahoma"/>
    </w:rPr>
  </w:style>
  <w:style w:customStyle="1" w:styleId="Pa0" w:type="paragraph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customStyle="1" w:styleId="A50" w:type="character">
    <w:name w:val="A5"/>
    <w:rsid w:val="00426966"/>
    <w:rPr>
      <w:color w:val="00529F"/>
      <w:sz w:val="20"/>
      <w:szCs w:val="20"/>
    </w:rPr>
  </w:style>
  <w:style w:styleId="af0" w:type="paragraph">
    <w:name w:val="Balloon Text"/>
    <w:basedOn w:val="a"/>
    <w:link w:val="af1"/>
    <w:rsid w:val="00F33D49"/>
    <w:rPr>
      <w:rFonts w:ascii="Tahoma" w:cs="Tahoma" w:hAnsi="Tahoma"/>
      <w:sz w:val="16"/>
      <w:szCs w:val="16"/>
    </w:rPr>
  </w:style>
  <w:style w:customStyle="1" w:styleId="af1" w:type="character">
    <w:name w:val="批注框文本 字符"/>
    <w:basedOn w:val="a0"/>
    <w:link w:val="af0"/>
    <w:rsid w:val="00F33D49"/>
    <w:rPr>
      <w:rFonts w:ascii="Tahoma" w:cs="Tahoma" w:hAnsi="Tahoma"/>
      <w:sz w:val="16"/>
      <w:szCs w:val="16"/>
    </w:rPr>
  </w:style>
  <w:style w:styleId="af2" w:type="character">
    <w:name w:val="Placeholder Text"/>
    <w:basedOn w:val="a0"/>
    <w:uiPriority w:val="99"/>
    <w:semiHidden/>
    <w:rsid w:val="009A1F6E"/>
    <w:rPr>
      <w:color w:val="808080"/>
    </w:rPr>
  </w:style>
  <w:style w:customStyle="1" w:styleId="ParagraphStyle1" w:type="paragraph">
    <w:name w:val="Paragraph Style 1"/>
    <w:basedOn w:val="a"/>
    <w:uiPriority w:val="99"/>
    <w:rsid w:val="00C82D86"/>
    <w:pPr>
      <w:widowControl w:val="0"/>
      <w:tabs>
        <w:tab w:pos="480" w:val="left"/>
      </w:tabs>
      <w:adjustRightInd w:val="0"/>
      <w:spacing w:before="100" w:line="280" w:lineRule="atLeast"/>
      <w:textAlignment w:val="center"/>
    </w:pPr>
    <w:rPr>
      <w:rFonts w:ascii="Formata-Regular" w:cs="Formata-Regular" w:eastAsiaTheme="minorEastAsia" w:hAnsi="Formata-Regular"/>
      <w:color w:val="000000"/>
      <w:sz w:val="22"/>
      <w:szCs w:val="22"/>
      <w:lang w:eastAsia="ja-JP"/>
    </w:rPr>
  </w:style>
  <w:style w:customStyle="1" w:styleId="BodyText1" w:type="character">
    <w:name w:val="Body Text1"/>
    <w:basedOn w:val="a0"/>
    <w:uiPriority w:val="99"/>
    <w:rsid w:val="00C82D86"/>
    <w:rPr>
      <w:rFonts w:ascii="Verdana" w:cs="Verdana" w:hAnsi="Verdana"/>
      <w:color w:val="000000"/>
      <w:sz w:val="22"/>
      <w:szCs w:val="22"/>
    </w:rPr>
  </w:style>
  <w:style w:customStyle="1" w:styleId="bodytype" w:type="character">
    <w:name w:val="body type"/>
    <w:basedOn w:val="a0"/>
    <w:uiPriority w:val="99"/>
    <w:rsid w:val="00C82D86"/>
    <w:rPr>
      <w:rFonts w:ascii="Formata-Regular" w:cs="Formata-Regular" w:hAnsi="Formata-Regular"/>
      <w:color w:val="000000"/>
      <w:sz w:val="22"/>
      <w:szCs w:val="22"/>
    </w:rPr>
  </w:style>
  <w:style w:customStyle="1" w:styleId="Style1" w:type="paragraph">
    <w:name w:val="Style1"/>
    <w:basedOn w:val="ReferenceHead"/>
    <w:link w:val="Style1Char"/>
    <w:qFormat/>
    <w:rsid w:val="003F52AD"/>
  </w:style>
  <w:style w:customStyle="1" w:styleId="10" w:type="character">
    <w:name w:val="标题 1 字符"/>
    <w:basedOn w:val="a0"/>
    <w:link w:val="1"/>
    <w:uiPriority w:val="9"/>
    <w:rsid w:val="003F52AD"/>
    <w:rPr>
      <w:smallCaps/>
      <w:kern w:val="28"/>
    </w:rPr>
  </w:style>
  <w:style w:customStyle="1" w:styleId="ReferenceHeadChar" w:type="character">
    <w:name w:val="Reference Head Char"/>
    <w:basedOn w:val="10"/>
    <w:link w:val="ReferenceHead"/>
    <w:rsid w:val="003F52AD"/>
    <w:rPr>
      <w:smallCaps/>
      <w:kern w:val="28"/>
    </w:rPr>
  </w:style>
  <w:style w:customStyle="1" w:styleId="Style1Char" w:type="character">
    <w:name w:val="Style1 Char"/>
    <w:basedOn w:val="ReferenceHeadChar"/>
    <w:link w:val="Style1"/>
    <w:rsid w:val="003F52AD"/>
    <w:rPr>
      <w:smallCaps/>
      <w:kern w:val="28"/>
    </w:rPr>
  </w:style>
  <w:style w:styleId="af3" w:type="paragraph">
    <w:name w:val="Revision"/>
    <w:hidden/>
    <w:uiPriority w:val="99"/>
    <w:semiHidden/>
    <w:rsid w:val="001B36B1"/>
  </w:style>
  <w:style w:customStyle="1" w:styleId="BodyText2" w:type="character">
    <w:name w:val="Body Text2"/>
    <w:basedOn w:val="a0"/>
    <w:uiPriority w:val="99"/>
    <w:rsid w:val="001B36B1"/>
    <w:rPr>
      <w:rFonts w:ascii="Verdana" w:cs="Verdana" w:hAnsi="Verdana"/>
      <w:color w:val="000000"/>
      <w:sz w:val="22"/>
      <w:szCs w:val="22"/>
    </w:rPr>
  </w:style>
  <w:style w:customStyle="1" w:styleId="20" w:type="character">
    <w:name w:val="标题 2 字符"/>
    <w:basedOn w:val="a0"/>
    <w:link w:val="2"/>
    <w:uiPriority w:val="9"/>
    <w:rsid w:val="001B36B1"/>
    <w:rPr>
      <w:i/>
      <w:iCs/>
    </w:rPr>
  </w:style>
  <w:style w:customStyle="1" w:styleId="TextL-MAG" w:type="paragraph">
    <w:name w:val="Text L-MAG"/>
    <w:basedOn w:val="a"/>
    <w:link w:val="TextL-MAGChar"/>
    <w:qFormat/>
    <w:rsid w:val="009C7D17"/>
    <w:pPr>
      <w:widowControl w:val="0"/>
      <w:tabs>
        <w:tab w:pos="360" w:val="left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customStyle="1" w:styleId="TextL-MAGChar" w:type="character">
    <w:name w:val="Text L-MAG Char"/>
    <w:basedOn w:val="a0"/>
    <w:link w:val="TextL-MAG"/>
    <w:rsid w:val="009C7D17"/>
    <w:rPr>
      <w:rFonts w:ascii="Arial" w:eastAsia="MS Mincho" w:hAnsi="Arial"/>
      <w:sz w:val="18"/>
      <w:szCs w:val="22"/>
      <w:lang w:eastAsia="ja-JP"/>
    </w:rPr>
  </w:style>
  <w:style w:customStyle="1" w:styleId="a8" w:type="character">
    <w:name w:val="页脚 字符"/>
    <w:basedOn w:val="a0"/>
    <w:link w:val="a7"/>
    <w:uiPriority w:val="99"/>
    <w:rsid w:val="00D90C10"/>
  </w:style>
  <w:style w:customStyle="1" w:styleId="a5" w:type="character">
    <w:name w:val="脚注文本 字符"/>
    <w:basedOn w:val="a0"/>
    <w:link w:val="a4"/>
    <w:semiHidden/>
    <w:rsid w:val="00C075EF"/>
    <w:rPr>
      <w:sz w:val="16"/>
      <w:szCs w:val="16"/>
    </w:rPr>
  </w:style>
  <w:style w:customStyle="1" w:styleId="ae" w:type="character">
    <w:name w:val="正文文本缩进 字符"/>
    <w:basedOn w:val="a0"/>
    <w:link w:val="ad"/>
    <w:rsid w:val="003F26BD"/>
    <w:rPr>
      <w:szCs w:val="24"/>
    </w:rPr>
  </w:style>
  <w:style w:customStyle="1" w:styleId="aa" w:type="character">
    <w:name w:val="页眉 字符"/>
    <w:basedOn w:val="a0"/>
    <w:link w:val="a9"/>
    <w:uiPriority w:val="99"/>
    <w:rsid w:val="0090176F"/>
  </w:style>
  <w:style w:styleId="af4" w:type="character">
    <w:name w:val="annotation reference"/>
    <w:basedOn w:val="a0"/>
    <w:semiHidden/>
    <w:unhideWhenUsed/>
    <w:rsid w:val="009F219C"/>
    <w:rPr>
      <w:sz w:val="21"/>
      <w:szCs w:val="21"/>
    </w:rPr>
  </w:style>
  <w:style w:styleId="af5" w:type="paragraph">
    <w:name w:val="annotation text"/>
    <w:basedOn w:val="a"/>
    <w:link w:val="af6"/>
    <w:semiHidden/>
    <w:unhideWhenUsed/>
    <w:rsid w:val="009F219C"/>
  </w:style>
  <w:style w:customStyle="1" w:styleId="af6" w:type="character">
    <w:name w:val="批注文字 字符"/>
    <w:basedOn w:val="a0"/>
    <w:link w:val="af5"/>
    <w:semiHidden/>
    <w:rsid w:val="009F219C"/>
  </w:style>
  <w:style w:styleId="af7" w:type="paragraph">
    <w:name w:val="annotation subject"/>
    <w:basedOn w:val="af5"/>
    <w:next w:val="af5"/>
    <w:link w:val="af8"/>
    <w:semiHidden/>
    <w:unhideWhenUsed/>
    <w:rsid w:val="009F219C"/>
    <w:rPr>
      <w:b/>
      <w:bCs/>
    </w:rPr>
  </w:style>
  <w:style w:customStyle="1" w:styleId="af8" w:type="character">
    <w:name w:val="批注主题 字符"/>
    <w:basedOn w:val="af6"/>
    <w:link w:val="af7"/>
    <w:semiHidden/>
    <w:rsid w:val="009F219C"/>
    <w:rPr>
      <w:b/>
      <w:bCs/>
    </w:rPr>
  </w:style>
  <w:style w:customStyle="1" w:styleId="labellist" w:type="character">
    <w:name w:val="label_list"/>
    <w:basedOn w:val="a0"/>
    <w:rsid w:val="002B2EBF"/>
  </w:style>
  <w:style w:styleId="af9" w:type="character">
    <w:name w:val="Book Title"/>
    <w:basedOn w:val="a0"/>
    <w:uiPriority w:val="33"/>
    <w:qFormat/>
    <w:rsid w:val="00DE3432"/>
    <w:rPr>
      <w:b/>
      <w:bCs/>
      <w:smallCaps/>
      <w:spacing w:val="5"/>
    </w:rPr>
  </w:style>
  <w:style w:customStyle="1" w:styleId="11" w:type="character">
    <w:name w:val="未处理的提及1"/>
    <w:basedOn w:val="a0"/>
    <w:uiPriority w:val="99"/>
    <w:semiHidden/>
    <w:unhideWhenUsed/>
    <w:rsid w:val="007A4B36"/>
    <w:rPr>
      <w:color w:val="605E5C"/>
      <w:shd w:color="auto" w:fill="E1DFDD" w:val="clear"/>
    </w:rPr>
  </w:style>
  <w:style w:styleId="afa" w:type="character">
    <w:name w:val="Strong"/>
    <w:basedOn w:val="a0"/>
    <w:uiPriority w:val="22"/>
    <w:qFormat/>
    <w:rsid w:val="001B6C20"/>
    <w:rPr>
      <w:b/>
      <w:bCs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5" Type="http://schemas.openxmlformats.org/officeDocument/2006/relationships/numbering" Target="numbering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webSettings" Target="webSettings.xml"/><Relationship Id="rId21" Type="http://schemas.openxmlformats.org/officeDocument/2006/relationships/fontTable" Target="fontTable.xml"/><Relationship Id="rId20" Type="http://schemas.openxmlformats.org/officeDocument/2006/relationships/theme" Target="theme/theme1.xml"/><Relationship Id="rId19" Type="http://schemas.openxmlformats.org/officeDocument/2006/relationships/footnotes" Target="footnotes.xml"/><Relationship Id="rId18" Type="http://schemas.openxmlformats.org/officeDocument/2006/relationships/comments" Target="comment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11" Type="http://schemas.openxmlformats.org/officeDocument/2006/relationships/image" Target="media/image2.png"/><Relationship Id="rId15" Type="http://schemas.openxmlformats.org/officeDocument/2006/relationships/header" Target="header2.xml"/><Relationship Id="rId9" Type="http://schemas.openxmlformats.org/officeDocument/2006/relationships/image" Target="media/image1.wmf"/><Relationship Id="rId14" Type="http://schemas.openxmlformats.org/officeDocument/2006/relationships/header" Target="header1.xml"/><Relationship Id="rId34" Type="http://schemas.openxmlformats.org/officeDocument/2006/relationships/image" Target="media/rId34.png"/><Relationship Id="rId60" Type="http://schemas.openxmlformats.org/officeDocument/2006/relationships/image" Target="media/rId60.png"/><Relationship Id="rId49" Type="http://schemas.openxmlformats.org/officeDocument/2006/relationships/image" Target="media/rId49.png"/><Relationship Id="rId85" Type="http://schemas.openxmlformats.org/officeDocument/2006/relationships/hyperlink" Target="https://arxiv.org/abs/2010.08895" TargetMode="External"/><Relationship Id="rId93" Type="http://schemas.openxmlformats.org/officeDocument/2006/relationships/hyperlink" Target="https://arxiv.org/abs/2205.06576" TargetMode="External"/><Relationship Id="rId100" Type="http://schemas.openxmlformats.org/officeDocument/2006/relationships/hyperlink" Target="https://arxiv.org/abs/2402.01960" TargetMode="External"/><Relationship Id="rId87" Type="http://schemas.openxmlformats.org/officeDocument/2006/relationships/hyperlink" Target="https://doi.org/10.1016/j.jcp.2018.10.045" TargetMode="External"/><Relationship Id="rId98" Type="http://schemas.openxmlformats.org/officeDocument/2006/relationships/hyperlink" Target="https://doi.org/10.1016/j.neucom.2023.03.015" TargetMode="External"/><Relationship Id="rId82" Type="http://schemas.openxmlformats.org/officeDocument/2006/relationships/hyperlink" Target="https://doi.org/10.1016/j.neunet.2025.107809" TargetMode="External"/><Relationship Id="rId89" Type="http://schemas.openxmlformats.org/officeDocument/2006/relationships/hyperlink" Target="https://doi.org/10.1016/j.physd.2024.134418" TargetMode="External"/><Relationship Id="rId78" Type="http://schemas.openxmlformats.org/officeDocument/2006/relationships/hyperlink" Target="https://doi.org/10.1038/s42256-021-00302-5" TargetMode="External"/><Relationship Id="rId103" Type="http://schemas.openxmlformats.org/officeDocument/2006/relationships/hyperlink" Target="https://doi.org/10.1109/ACCESS.2018.2853637" TargetMode="External"/><Relationship Id="rId109" Type="http://schemas.openxmlformats.org/officeDocument/2006/relationships/hyperlink" Target="https://doi.org/10.1109/JSYST.2015.2444893" TargetMode="External"/><Relationship Id="rId45" Type="http://schemas.openxmlformats.org/officeDocument/2006/relationships/hyperlink" Target="https://github.com/La0Fe1/operator-transient-stability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arxiv.org/abs/2010.08895" TargetMode="External"/><Relationship Id="rId93" Type="http://schemas.openxmlformats.org/officeDocument/2006/relationships/hyperlink" Target="https://arxiv.org/abs/2205.06576" TargetMode="External"/><Relationship Id="rId100" Type="http://schemas.openxmlformats.org/officeDocument/2006/relationships/hyperlink" Target="https://arxiv.org/abs/2402.01960" TargetMode="External"/><Relationship Id="rId87" Type="http://schemas.openxmlformats.org/officeDocument/2006/relationships/hyperlink" Target="https://doi.org/10.1016/j.jcp.2018.10.045" TargetMode="External"/><Relationship Id="rId98" Type="http://schemas.openxmlformats.org/officeDocument/2006/relationships/hyperlink" Target="https://doi.org/10.1016/j.neucom.2023.03.015" TargetMode="External"/><Relationship Id="rId82" Type="http://schemas.openxmlformats.org/officeDocument/2006/relationships/hyperlink" Target="https://doi.org/10.1016/j.neunet.2025.107809" TargetMode="External"/><Relationship Id="rId89" Type="http://schemas.openxmlformats.org/officeDocument/2006/relationships/hyperlink" Target="https://doi.org/10.1016/j.physd.2024.134418" TargetMode="External"/><Relationship Id="rId78" Type="http://schemas.openxmlformats.org/officeDocument/2006/relationships/hyperlink" Target="https://doi.org/10.1038/s42256-021-00302-5" TargetMode="External"/><Relationship Id="rId103" Type="http://schemas.openxmlformats.org/officeDocument/2006/relationships/hyperlink" Target="https://doi.org/10.1109/ACCESS.2018.2853637" TargetMode="External"/><Relationship Id="rId109" Type="http://schemas.openxmlformats.org/officeDocument/2006/relationships/hyperlink" Target="https://doi.org/10.1109/JSYST.2015.2444893" TargetMode="External"/><Relationship Id="rId45" Type="http://schemas.openxmlformats.org/officeDocument/2006/relationships/hyperlink" Target="https://github.com/La0Fe1/operator-transient-st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7</Pages>
  <Words>4840</Words>
  <Characters>27588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32364</CharactersWithSpaces>
  <SharedDoc>false</SharedDoc>
  <HLinks>
    <vt:vector size="72" baseType="variant">
      <vt:variant>
        <vt:i4>6160457</vt:i4>
      </vt:variant>
      <vt:variant>
        <vt:i4>39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2687077</vt:i4>
      </vt:variant>
      <vt:variant>
        <vt:i4>36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6160457</vt:i4>
      </vt:variant>
      <vt:variant>
        <vt:i4>33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2031701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4391006</vt:i4>
      </vt:variant>
      <vt:variant>
        <vt:i4>21</vt:i4>
      </vt:variant>
      <vt:variant>
        <vt:i4>0</vt:i4>
      </vt:variant>
      <vt:variant>
        <vt:i4>5</vt:i4>
      </vt:variant>
      <vt:variant>
        <vt:lpwstr>http://www.ieee.org/copyright</vt:lpwstr>
      </vt:variant>
      <vt:variant>
        <vt:lpwstr/>
      </vt:variant>
      <vt:variant>
        <vt:i4>2555906</vt:i4>
      </vt:variant>
      <vt:variant>
        <vt:i4>18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3866730</vt:i4>
      </vt:variant>
      <vt:variant>
        <vt:i4>12</vt:i4>
      </vt:variant>
      <vt:variant>
        <vt:i4>0</vt:i4>
      </vt:variant>
      <vt:variant>
        <vt:i4>5</vt:i4>
      </vt:variant>
      <vt:variant>
        <vt:lpwstr>http://www.adobe.com/support/downloads/</vt:lpwstr>
      </vt:variant>
      <vt:variant>
        <vt:lpwstr/>
      </vt:variant>
      <vt:variant>
        <vt:i4>2424932</vt:i4>
      </vt:variant>
      <vt:variant>
        <vt:i4>9</vt:i4>
      </vt:variant>
      <vt:variant>
        <vt:i4>0</vt:i4>
      </vt:variant>
      <vt:variant>
        <vt:i4>5</vt:i4>
      </vt:variant>
      <vt:variant>
        <vt:lpwstr>http://www.adobe.com/support/downloads/pdrvwin.htm</vt:lpwstr>
      </vt:variant>
      <vt:variant>
        <vt:lpwstr/>
      </vt:variant>
      <vt:variant>
        <vt:i4>2031701</vt:i4>
      </vt:variant>
      <vt:variant>
        <vt:i4>6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Physics-Encoded Neural Operator with Conformal Trajectory Bands for Fast Transient Stability Screening</dc:title>
  <dc:creator>Zhenyu Liu; Jiale Wang; Jiayong Liu; Zhicheng Zeng</dc:creator>
  <cp:keywords/>
  <dcterms:created xsi:type="dcterms:W3CDTF">2026-09-16T10:51:27Z</dcterms:created>
  <dcterms:modified xsi:type="dcterms:W3CDTF">2026-09-16T10:51:27Z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Transient stability assessment (TSA) predicts whether a power system remains synchronized after a large disturbance and estimates the critical clearing time (CCT) of faults. Time-domain simulation (TDS) is accurate but slow, whereas machine-learning classifiers are fast but discard the rotor-angle trajectory and provide no error bound. We introduce a physics-encoded neural operator mapping a fault scenario to the full center-of-inertia rotor-angle trajectory, with a distribution-free, finite-sample error band attached through split conformal prediction. The key enabler is a physics-informed input encoding: a fault is represented by the vector of initial accelerations it induces on each machine, computed from the swing equation rather than a bus index, letting the operator generalize to unseen fault locations and N{-}1/N{-}2 topologies. On the IEEE 39-bus system it classifies stability with 95.4% accuracy under a max-over-time \pi-separation criterion, estimates the CCT to within 25.2 ms, and runs \approx214{}\times faster than TDS on identical hardware. A directly calibrated pairwise score bounds the machine-angle spread to 148^\circ at \alpha{=}0.1; the band is coverage-valid, but the screening rule then resolves none of the scenarios, so the resolvable fraction is reported across \alpha with a TDS fallback—the conformal output is a calibrated trajectory band, not a stability certificate. Retrained on the IEEE 118-bus system it reaches 92.9%\% accuracy, and the encoding carries over unchanged to higher-fidelity generator models. A physics-residual loss does not help, and generalization across operating points remains open. To our knowledge, this is the first work coupling a trajectory-level operator with conformal trajectory bands and CCT extraction in TSA.</vt:lpwstr>
  </property>
  <property fmtid="{D5CDD505-2E9C-101B-9397-08002B2CF9AE}" pid="3" name="bibliography">
    <vt:lpwstr/>
  </property>
  <property fmtid="{D5CDD505-2E9C-101B-9397-08002B2CF9AE}" pid="4" name="csl">
    <vt:lpwstr>ieee.csl</vt:lpwstr>
  </property>
</Properties>
</file>