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2B3A"/>
          <w:sz w:val="36"/>
          <w:szCs w:val="36"/>
        </w:rPr>
        <w:t xml:space="preserve">LICEUL COLUMNA</w:t>
      </w:r>
    </w:p>
    <w:p>
      <w:pPr>
        <w:pBdr>
          <w:bottom w:val="single" w:color="C4A35A" w:sz="12" w:space="6"/>
        </w:pBdr>
        <w:spacing w:after="60"/>
      </w:pPr>
      <w:r>
        <w:rPr>
          <w:b/>
          <w:bCs/>
          <w:color w:val="1C2B3A"/>
          <w:sz w:val="26"/>
          <w:szCs w:val="26"/>
        </w:rPr>
        <w:t xml:space="preserve">Tipurile de note și schema de notare</w:t>
      </w:r>
    </w:p>
    <w:p>
      <w:pPr>
        <w:spacing w:after="40" w:before="120"/>
      </w:pPr>
      <w:r>
        <w:rPr>
          <w:i/>
          <w:iCs/>
          <w:color w:val="555555"/>
        </w:rPr>
        <w:t xml:space="preserve">Concretizare pentru catalogul electronic — anexă tehnică</w:t>
      </w:r>
    </w:p>
    <w:p>
      <w:pPr>
        <w:spacing w:after="220"/>
      </w:pPr>
      <w:r>
        <w:rPr>
          <w:color w:val="777777"/>
          <w:sz w:val="20"/>
          <w:szCs w:val="20"/>
        </w:rPr>
        <w:t xml:space="preserve">Chișinău, iunie 2026</w:t>
      </w:r>
    </w:p>
    <w:p>
      <w:pPr>
        <w:pStyle w:val="Heading1"/>
        <w:spacing w:after="140" w:before="340"/>
      </w:pPr>
      <w:r>
        <w:rPr>
          <w:b/>
          <w:bCs/>
          <w:color w:val="C4A35A"/>
        </w:rPr>
        <w:t xml:space="preserve">1.  </w:t>
      </w:r>
      <w:r>
        <w:rPr>
          <w:b/>
          <w:bCs/>
          <w:color w:val="1C2B3A"/>
        </w:rPr>
        <w:t xml:space="preserve">Tipurile de note și rolul lor în calcul</w:t>
      </w:r>
    </w:p>
    <w:p>
      <w:pPr>
        <w:spacing w:after="140"/>
      </w:pPr>
      <w:r>
        <w:rPr>
          <w:i/>
          <w:iCs/>
          <w:color w:val="555555"/>
        </w:rPr>
        <w:t xml:space="preserve">Tipul notei determină cum intră aceasta în media semestrială. Doar nota sumativă semestrială (ESS la gimnaziu, teză la liceu) are tratament special — ponderare de 50%.</w:t>
      </w:r>
    </w:p>
    <w:p>
      <w:pPr>
        <w:spacing w:after="40" w:before="120"/>
      </w:pPr>
      <w:r>
        <w:rPr>
          <w:b/>
          <w:bCs/>
          <w:color w:val="1C2B3A"/>
          <w:sz w:val="22"/>
          <w:szCs w:val="22"/>
        </w:rPr>
        <w:t xml:space="preserve">1. Notă curentă (formativă)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Nota de zi cu zi: răspuns oral, fișă, temă, participare, test scurt.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Intră în „media notelor curente” (MC). </w:t>
      </w:r>
      <w:r>
        <w:rPr>
          <w:b/>
          <w:bCs/>
        </w:rPr>
        <w:t xml:space="preserve">Neponderată</w:t>
      </w:r>
      <w:r>
        <w:t xml:space="preserve"> individual — toate curentele au greutate egală între ele.</w:t>
      </w:r>
    </w:p>
    <w:p>
      <w:pPr>
        <w:spacing w:after="40" w:before="120"/>
      </w:pPr>
      <w:r>
        <w:rPr>
          <w:b/>
          <w:bCs/>
          <w:color w:val="1C2B3A"/>
          <w:sz w:val="22"/>
          <w:szCs w:val="22"/>
        </w:rPr>
        <w:t xml:space="preserve">2. ESI — evaluare sumativă intrasemestrială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Evaluarea la sfârșit de unitate de învățare (test sumativ de capitol).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calcul se comportă </w:t>
      </w:r>
      <w:r>
        <w:rPr>
          <w:b/>
          <w:bCs/>
        </w:rPr>
        <w:t xml:space="preserve">ca o notă curentă</w:t>
      </w:r>
      <w:r>
        <w:t xml:space="preserve"> — intră în MC alături de celelalte, nu separat. Se distinge doar prin semnificația pedagogică (marchează finalul unei unități).</w:t>
      </w:r>
    </w:p>
    <w:p>
      <w:pPr>
        <w:spacing w:after="40" w:before="120"/>
      </w:pPr>
      <w:r>
        <w:rPr>
          <w:b/>
          <w:bCs/>
          <w:color w:val="1C2B3A"/>
          <w:sz w:val="22"/>
          <w:szCs w:val="22"/>
        </w:rPr>
        <w:t xml:space="preserve">3. Nota sumativă semestrială — singura ponderată (50%)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Gimnaziu — ESS</w:t>
      </w:r>
      <w:r>
        <w:t xml:space="preserve"> (evaluare sumativă semestrială): disciplinele se stabilesc prin </w:t>
      </w:r>
      <w:r>
        <w:rPr>
          <w:b/>
          <w:bCs/>
        </w:rPr>
        <w:t xml:space="preserve">ordinul directorului</w:t>
      </w:r>
      <w:r>
        <w:t xml:space="preserve"> (regulament intern Columna).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Liceu — teză</w:t>
      </w:r>
      <w:r>
        <w:t xml:space="preserve">: disciplinele se stabilesc prin </w:t>
      </w:r>
      <w:r>
        <w:rPr>
          <w:b/>
          <w:bCs/>
        </w:rPr>
        <w:t xml:space="preserve">ordinul MEC</w:t>
      </w:r>
      <w:r>
        <w:t xml:space="preserve">. La liceu nu există ESS, doar teze.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Aceeași mecanică de calcul la ambele niveluri:  </w:t>
      </w:r>
      <w:r>
        <w:rPr>
          <w:b/>
          <w:bCs/>
        </w:rPr>
        <w:t xml:space="preserve">MS = (MC + nota sumativă semestrială) / 2</w:t>
      </w:r>
      <w:r>
        <w:t xml:space="preserve">, condiționat de ambele ≥ 5,00. Sutimi, fără rotunjire.</w:t>
      </w:r>
    </w:p>
    <w:p>
      <w:pPr>
        <w:pBdr>
          <w:left w:val="single" w:color="C4A35A" w:sz="18" w:space="10"/>
        </w:pBdr>
        <w:spacing w:after="140" w:before="60"/>
        <w:ind w:left="160"/>
      </w:pPr>
      <w:r>
        <w:rPr>
          <w:b/>
          <w:bCs/>
          <w:color w:val="1C2B3A"/>
        </w:rPr>
        <w:t xml:space="preserve">Esențial pentru baza de date: doar nota sumativă semestrială (ESS-gimnaziu / teză-liceu) are tratament special la calcul. Curenta și ESI se comportă identic în formulă (ambele în MC); se disting doar ca etichetă.</w:t>
      </w:r>
    </w:p>
    <w:p>
      <w:pPr>
        <w:pStyle w:val="Heading1"/>
        <w:spacing w:after="140" w:before="340"/>
      </w:pPr>
      <w:r>
        <w:rPr>
          <w:b/>
          <w:bCs/>
          <w:color w:val="C4A35A"/>
        </w:rPr>
        <w:t xml:space="preserve">2.  </w:t>
      </w:r>
      <w:r>
        <w:rPr>
          <w:b/>
          <w:bCs/>
          <w:color w:val="1C2B3A"/>
        </w:rPr>
        <w:t xml:space="preserve">Tabelul de referință  tip_nota</w:t>
      </w:r>
    </w:p>
    <w:p>
      <w:pPr>
        <w:spacing w:after="140"/>
      </w:pPr>
      <w:r>
        <w:rPr>
          <w:i/>
          <w:iCs/>
          <w:color w:val="555555"/>
        </w:rPr>
        <w:t xml:space="preserve">Nu un câmp text liber pentru tip, ci un tabel de referință care spune motorului de calcul cum să trateze fiecare notă. O schimbare de pondere se face dintr-un rând, fără rescriere de cod.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360"/>
        <w:gridCol w:w="1400"/>
        <w:gridCol w:w="13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denumire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intra_in_MC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ponderata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pondere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Curentă (formativă)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Ev. sumativă intrasemestrială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Ev. sumativă semestrială (gimnaziu)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Teză semestrială (liceu)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0.50</w:t>
            </w:r>
          </w:p>
        </w:tc>
      </w:tr>
    </w:tbl>
    <w:p>
      <w:pPr>
        <w:spacing w:after="60" w:before="100"/>
      </w:pPr>
      <w:r>
        <w:rPr>
          <w:i/>
          <w:iCs/>
          <w:color w:val="555555"/>
          <w:sz w:val="18"/>
          <w:szCs w:val="18"/>
        </w:rPr>
        <w:t xml:space="preserve">Câmpurile intra_in_MC, ponderata și pondere sunt citite de motorul de calcul — el nu conține reguli codate rigid.</w:t>
      </w:r>
    </w:p>
    <w:p>
      <w:pPr>
        <w:pStyle w:val="Heading1"/>
        <w:spacing w:after="140" w:before="340"/>
      </w:pPr>
      <w:r>
        <w:rPr>
          <w:b/>
          <w:bCs/>
          <w:color w:val="C4A35A"/>
        </w:rPr>
        <w:t xml:space="preserve">3.  </w:t>
      </w:r>
      <w:r>
        <w:rPr>
          <w:b/>
          <w:bCs/>
          <w:color w:val="1C2B3A"/>
        </w:rPr>
        <w:t xml:space="preserve">Schema de notare (pe cicluri)</w:t>
      </w:r>
    </w:p>
    <w:p>
      <w:pPr>
        <w:spacing w:after="140"/>
      </w:pPr>
      <w:r>
        <w:rPr>
          <w:i/>
          <w:iCs/>
          <w:color w:val="555555"/>
        </w:rPr>
        <w:t xml:space="preserve">Scala și pragul de promovare, pe fiecare treaptă de școlarizare.</w:t>
      </w:r>
    </w:p>
    <w:p>
      <w:pPr>
        <w:spacing w:after="40" w:before="120"/>
      </w:pPr>
      <w:r>
        <w:rPr>
          <w:b/>
          <w:bCs/>
          <w:color w:val="1C2B3A"/>
          <w:sz w:val="22"/>
          <w:szCs w:val="22"/>
        </w:rPr>
        <w:t xml:space="preserve">Primar (cl. I–IV)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Evaluare prin </w:t>
      </w:r>
      <w:r>
        <w:rPr>
          <w:b/>
          <w:bCs/>
        </w:rPr>
        <w:t xml:space="preserve">descriptori</w:t>
      </w:r>
      <w:r>
        <w:t xml:space="preserve"> (independent / ghidat / cu mai mult sprijin) și </w:t>
      </w:r>
      <w:r>
        <w:rPr>
          <w:b/>
          <w:bCs/>
        </w:rPr>
        <w:t xml:space="preserve">calificative</w:t>
      </w:r>
      <w:r>
        <w:t xml:space="preserve"> (foarte bine / bine / suficient).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Suplimentar, </w:t>
      </w:r>
      <w:r>
        <w:rPr>
          <w:b/>
          <w:bCs/>
        </w:rPr>
        <w:t xml:space="preserve">note pe scala 1–10</w:t>
      </w:r>
      <w:r>
        <w:t xml:space="preserve"> (regulament intern Columna), cu </w:t>
      </w:r>
      <w:r>
        <w:rPr>
          <w:b/>
          <w:bCs/>
        </w:rPr>
        <w:t xml:space="preserve">nota de promovare 5,00</w:t>
      </w:r>
      <w:r>
        <w:t xml:space="preserve">.</w:t>
      </w:r>
    </w:p>
    <w:p>
      <w:pPr>
        <w:spacing w:after="40" w:before="120"/>
      </w:pPr>
      <w:r>
        <w:rPr>
          <w:b/>
          <w:bCs/>
          <w:color w:val="1C2B3A"/>
          <w:sz w:val="22"/>
          <w:szCs w:val="22"/>
        </w:rPr>
        <w:t xml:space="preserve">Gimnaziu (cl. V–IX) și Liceu (cl. X–XII)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Notare pe scala </w:t>
      </w:r>
      <w:r>
        <w:rPr>
          <w:b/>
          <w:bCs/>
        </w:rPr>
        <w:t xml:space="preserve">1–10</w:t>
      </w:r>
      <w:r>
        <w:t xml:space="preserve">, cu </w:t>
      </w:r>
      <w:r>
        <w:rPr>
          <w:b/>
          <w:bCs/>
        </w:rPr>
        <w:t xml:space="preserve">media minimă de promovare 5,00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Mediile se calculează până la sutimi, fără rotunjire; promovarea se decide pe medie ≥ 5,00.</w:t>
      </w:r>
    </w:p>
    <w:p>
      <w:pPr>
        <w:pBdr>
          <w:top w:val="single" w:color="C4A35A" w:sz="6" w:space="8"/>
        </w:pBdr>
        <w:spacing w:before="320"/>
      </w:pPr>
      <w:r>
        <w:rPr>
          <w:i/>
          <w:iCs/>
          <w:color w:val="777777"/>
          <w:sz w:val="20"/>
          <w:szCs w:val="20"/>
        </w:rPr>
        <w:t xml:space="preserve">I.P. Liceul Columna, Chișinău · Anexă tehnică — tipurile și schema de notare.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2026-07-02T10:56:27.102Z</dcterms:created>
  <dcterms:modified xsi:type="dcterms:W3CDTF">2026-07-02T10:56:27.125Z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