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lang w:val="pt-BR"/>
              </w:rPr>
              <w:t>Janet Siegmund; Christian Kastner; Sven Apel; Chris Parnin; Anja Bethmann; Thomas Leich; Gunter Saake; André Brechmann;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Understanding Understanding Source Code with 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Estudo da ativação de áreas cerebrais através do metódo BOLD(oxigenação) do qual faz uso de MRI para tais experimentos, onde programadores são testados com exercícios de síntaxe e entendimento(resolução), os resultados obtidos são analisados com intuíto de enteder o funcionamento do cérebro durante o processo de compreensão de programas. É verificado que os pacientes tem duas de abordagem para entendimento dos algoritmos, sendo “bottom-up” e “top-down” que tratam-se de situações onde o programador entende o que se passa no código-fonte e onde ele não entende, necessitando ler o código passo-a-passo, respectivamente.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O artigo também cita dificuldades encontradas em estudos envolvendo MRI, devido a técnologia  e as interferencias que podem ocorrer durante um estudo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Andrés Framiñán; Pablo Ruisoto;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2013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Advanced Neuroimage Processing for the Study of the</w:t>
            </w:r>
          </w:p>
          <w:p>
            <w:pPr>
              <w:pStyle w:val="Normal"/>
              <w:rPr/>
            </w:pPr>
            <w:r>
              <w:rPr/>
              <w:t>Neurovascular System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Explicação  sobre a utilização do “OsiriX” para processamento de imagens do tipo “MR”, sendo uma ferramenta de fácil uso, permitindo aprofundar ainda mais em tópicos educacionais.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 xml:space="preserve">O artigo provê informações sobre técnicas de visualização, obtenção, </w:t>
            </w:r>
            <w:r>
              <w:rPr>
                <w:lang w:val="en-US"/>
              </w:rPr>
              <w:t>processamento, segmentação e renderização de imagens 2 e 3D, trazendo informações detalhadas das mesmas.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Phophalia, A.; Mitra, S. K. &amp; Rajwade, A.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810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Heading1"/>
              <w:spacing w:before="24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 Denoising Filter for Brain MR Images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Corpo"/>
        <w:rPr/>
      </w:pPr>
      <w:r>
        <w:rPr/>
      </w:r>
    </w:p>
    <w:tbl>
      <w:tblPr>
        <w:tblStyle w:val="TableNormal"/>
        <w:tblW w:w="9557" w:type="dxa"/>
        <w:jc w:val="left"/>
        <w:tblInd w:w="-2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  <w:tblLook w:val="04a0"/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bb"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7d1bbb"/>
    <w:rPr>
      <w:u w:val="single"/>
    </w:rPr>
  </w:style>
  <w:style w:type="character" w:styleId="Authorname" w:customStyle="1">
    <w:name w:val="authorname"/>
    <w:basedOn w:val="DefaultParagraphFont"/>
    <w:qFormat/>
    <w:rsid w:val="00ff6ebb"/>
    <w:rPr/>
  </w:style>
  <w:style w:type="character" w:styleId="Usronly" w:customStyle="1">
    <w:name w:val="u-sronly"/>
    <w:basedOn w:val="DefaultParagraphFont"/>
    <w:qFormat/>
    <w:rsid w:val="00ff6ebb"/>
    <w:rPr/>
  </w:style>
  <w:style w:type="character" w:styleId="Appleconvertedspace" w:customStyle="1">
    <w:name w:val="apple-converted-space"/>
    <w:basedOn w:val="DefaultParagraphFont"/>
    <w:qFormat/>
    <w:rsid w:val="00ff6ebb"/>
    <w:rPr/>
  </w:style>
  <w:style w:type="character" w:styleId="Authorsinfo" w:customStyle="1">
    <w:name w:val="authors-info"/>
    <w:basedOn w:val="DefaultParagraphFont"/>
    <w:qFormat/>
    <w:rsid w:val="00643ffe"/>
    <w:rPr/>
  </w:style>
  <w:style w:type="character" w:styleId="Ngscope" w:customStyle="1">
    <w:name w:val="ng-scope"/>
    <w:basedOn w:val="DefaultParagraphFont"/>
    <w:qFormat/>
    <w:rsid w:val="00643ffe"/>
    <w:rPr/>
  </w:style>
  <w:style w:type="character" w:styleId="Ngbinding" w:customStyle="1">
    <w:name w:val="ng-binding"/>
    <w:basedOn w:val="DefaultParagraphFont"/>
    <w:qFormat/>
    <w:rsid w:val="00643ffe"/>
    <w:rPr/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 w:customStyle="1">
    <w:name w:val="Corpo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 w:customStyle="1">
    <w:name w:val="Estilo de Tabela 2"/>
    <w:qFormat/>
    <w:rsid w:val="007d1bbb"/>
    <w:pPr>
      <w:widowControl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Application>LibreOffice/5.0.6.2$Linux_X86_64 LibreOffice_project/00$Build-2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2017-07-21T14:29:56Z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