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57" w:type="dxa"/>
        <w:jc w:val="left"/>
        <w:tblInd w:w="-42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Leandro Marques Queiros, Denis Silva da Silveira,</w:t>
            </w:r>
          </w:p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Jorge da Silva Correia-Neto and Guilherme Vilar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LODPRO: learning objects development process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Resenha</w:t>
            </w:r>
            <w:r>
              <w:rPr/>
              <w:t xml:space="preserve">: </w:t>
            </w:r>
          </w:p>
          <w:p>
            <w:pPr>
              <w:pStyle w:val="EstilodeTabela2"/>
              <w:rPr/>
            </w:pPr>
            <w:r>
              <w:rPr/>
              <w:t>Estado da arte sendo a combinação de "software engineering, innovative approaches, business management, and quality management" para desenvolvimento de objetos de aprendizado.</w:t>
            </w:r>
          </w:p>
          <w:p>
            <w:pPr>
              <w:pStyle w:val="EstilodeTabela2"/>
              <w:rPr/>
            </w:pPr>
            <w:r>
              <w:rPr/>
              <w:t>Como integrar tais métodos e técnicas no desenvolvimento de Objetos de Aprendizado.</w:t>
            </w:r>
          </w:p>
          <w:p>
            <w:pPr>
              <w:pStyle w:val="EstilodeTabela2"/>
              <w:rPr/>
            </w:pPr>
            <w:r>
              <w:rPr/>
              <w:t>O papel relata que engenharia de software só pode ser utilizada quando os requerimentos são estáveis, a falta dos mesmos implica no uso da Metodologia ágil, dentro das existentes metodologias, o mesmo faz uso do método “Scrum” junto com as notações gráficas do BPMN e Design Thinking.</w:t>
            </w:r>
          </w:p>
          <w:p>
            <w:pPr>
              <w:pStyle w:val="EstilodeTabela2"/>
              <w:rPr>
                <w:u w:val="none"/>
              </w:rPr>
            </w:pPr>
            <w:r>
              <w:rPr>
                <w:u w:val="none"/>
              </w:rPr>
              <w:t>Uso do ciclo PDCA de acordo com as características e definições do LO, dívidindo-os em 11 passos: create a business plan, present it using Canvas, create insight cards, elaborate a conceptual map, run brain-storming session, make the mind map, create the storytelling, analyze the project, develop the learning tool, verify results, and validate the learning tool.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W w:w="9557" w:type="dxa"/>
        <w:jc w:val="left"/>
        <w:tblInd w:w="-42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lang w:val="pt-BR"/>
              </w:rPr>
              <w:t xml:space="preserve">Olga </w:t>
            </w:r>
            <w:r>
              <w:rPr/>
              <w:t>К</w:t>
            </w:r>
            <w:r>
              <w:rPr>
                <w:lang w:val="pt-BR"/>
              </w:rPr>
              <w:t>. Alsova ;  Olga V. Kazanskaya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Training simulators for support of inductive method in teaching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Estado da arte sendo o desenvolvimento de ferramentas para e-learning educativo, seus requisitos para o método indutivo de ensino, deve suportar investigação analítica, permitindo estudantes organizar suas próprias investigações e exportar experimentos, guardar, analizar e processar os resultados.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Descreve uma possível estrutura básica para o simulador e suas funções, também fornecendo exemplos de métodos de otimização e modelação de simulação.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Informação sobre o processo de resolução(objetivo do simulador), adaptável a diferente cenários de ensino, animação(design interativo)  e feedback e comunicação com usuários.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W w:w="9557" w:type="dxa"/>
        <w:jc w:val="left"/>
        <w:tblInd w:w="-42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Miranda Carney-Morris; Trevor Murphy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Teaching, Learning, and Classroom Design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Estudo do ambiente de estudo dentro das faculdades, estrutura e equipamentos disponivel para explorar possibilidades, a cultura e preferência de seus alunos e como pode impactar as alterações para que seja aplicado uma nova técnica de ensino (e-Learning).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W w:w="9557" w:type="dxa"/>
        <w:jc w:val="left"/>
        <w:tblInd w:w="-42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Janet Siegmund; Christian Kastner; Sven Apel; Chris Parnin; Anja Bethmann; Thomas Leich; Gunter Saake; André Brechmann;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2014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Understanding Understanding Source Code with Functional Magnetic Resonance Imaging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Estudo da ativação de áreas cerebrais através do metódo BOLD(oxigenação) do qual faz uso de MRI para tais experimentos, onde programadores são testados com exercícios de síntaxe e entendimento(resolução), os resultados obtidos são analisados com intuíto de enteder o funcionamento do cérebro durante o processo de compreensão de programas. É verificado que os pacientes tem duas de abordagem para entendimento dos algoritmos, sendo “bottom-up” e “top-down” que tratam-se de situações onde o programador entende o que se passa no código-fonte e onde ele não entende, necessitando ler o código passo-a-passo, respectivamente.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O artigo também cita dificuldades encontradas em estudos envolvendo MRI, devido a técnologia  e as interferencias que podem ocorrer durante um estudo específico.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42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Andrés Framiñán; Pablo Ruisoto;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2013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Advanced Neuroimage Processing for the Study of the</w:t>
            </w:r>
          </w:p>
          <w:p>
            <w:pPr>
              <w:pStyle w:val="Normal"/>
              <w:rPr/>
            </w:pPr>
            <w:r>
              <w:rPr/>
              <w:t>Neurovascular System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Explicação  sobre a utilização do “OsiriX” para processamento de imagens do tipo “MR”, sendo uma ferramenta de fácil uso, permitindo aprofundar ainda mais em tópicos educacionais.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O artigo provê informações sobre técnicas de visualização, obtenção, processamento, segmentação e renderização de imagens 2 e 3D, trazendo informações detalhadas das mesmas.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W w:w="9557" w:type="dxa"/>
        <w:jc w:val="left"/>
        <w:tblInd w:w="-42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lang w:val="pt-BR"/>
              </w:rPr>
              <w:t>Phophalia, A.; Mitra, S. K. &amp; Rajwade, A.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810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Heading1"/>
              <w:spacing w:before="24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New Denoising Filter for Brain MR Images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State-of-Art sendo uso de filtro trilateral para alisamento(remoção de ruídos) dos cantos das imagens. O Filtro trilateral é a junção de um terceiro filtro à um ja existente filtro bilateral. São utilizados algoritmos/ferramentas matemáticos para lidar com as informações imprecizas (RST, REM &amp; RCL).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(Artigo é voltado para processamento de imagens, útil para especialização ou interessados em criação de software para o mesmo; não será de grande útilidade para nosso estudo).</w:t>
            </w:r>
          </w:p>
        </w:tc>
      </w:tr>
    </w:tbl>
    <w:p>
      <w:pPr>
        <w:pStyle w:val="Corpo"/>
        <w:rPr/>
      </w:pPr>
      <w:r>
        <w:rPr/>
      </w:r>
    </w:p>
    <w:tbl>
      <w:tblPr>
        <w:tblW w:w="9557" w:type="dxa"/>
        <w:jc w:val="left"/>
        <w:tblInd w:w="-42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lang w:val="pt-BR"/>
              </w:rPr>
              <w:t>Sathiyamurthy, K.; Geetha, T. V. &amp; Senthilvelan, M.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An Approach Towards Dynamic Assembling of Learning Objects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O artigo descreve e tenta fazer a união de Objetos de Aprendizado, diminuir a “fragmentação” e repetição dos mesmos. Fazendo uso de LOR's (repositórios onde pode-se encontrar diversos Objetos de Aprendizado) e LOM (Metadata dos Objetos de Aprendizado, contendo suas informações</w:t>
            </w:r>
            <w:r>
              <w:rPr>
                <w:lang w:val="en-US"/>
              </w:rPr>
              <w:t>) seguindo o padrão da IEEE.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O Estudo preza pela qualidade do Objeto à ser montado, referindo-se como “granularidade” e também leva em consideração diversas ontologias relacionadas ao desenvolvimento de Objetos de Aprendizado, cita-se “domínio, pedagogía e ontología estruturada”. Dentre os repositórios citados estão: ARIADNE, MERLOT, CAREO, SMETE.</w:t>
            </w:r>
          </w:p>
        </w:tc>
      </w:tr>
    </w:tbl>
    <w:p>
      <w:pPr>
        <w:pStyle w:val="Corpo"/>
        <w:rPr/>
      </w:pPr>
      <w:r>
        <w:rPr/>
      </w:r>
    </w:p>
    <w:tbl>
      <w:tblPr>
        <w:tblW w:w="9557" w:type="dxa"/>
        <w:jc w:val="left"/>
        <w:tblInd w:w="-42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Exploring Programming Misconceptions: An Analysis of Student Mistakes in Visual Program Simulation Exercises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Corpo"/>
        <w:rPr/>
      </w:pPr>
      <w:r>
        <w:rPr/>
      </w:r>
    </w:p>
    <w:tbl>
      <w:tblPr>
        <w:tblW w:w="9557" w:type="dxa"/>
        <w:jc w:val="left"/>
        <w:tblInd w:w="-42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Authorname">
    <w:name w:val="authorname"/>
    <w:basedOn w:val="DefaultParagraphFont"/>
    <w:qFormat/>
    <w:rPr/>
  </w:style>
  <w:style w:type="character" w:styleId="Usronly">
    <w:name w:val="u-sronly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Authorsinfo">
    <w:name w:val="authors-info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rpo">
    <w:name w:val="Corpo"/>
    <w:qFormat/>
    <w:pPr>
      <w:widowControl/>
      <w:kinsoku w:val="true"/>
      <w:overflowPunct w:val="true"/>
      <w:autoSpaceDE w:val="true"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pt-BR" w:eastAsia="pt-BR" w:bidi="ar-SA"/>
    </w:rPr>
  </w:style>
  <w:style w:type="paragraph" w:styleId="EstilodeTabela2">
    <w:name w:val="Estilo de Tabela 2"/>
    <w:qFormat/>
    <w:pPr>
      <w:widowControl/>
      <w:kinsoku w:val="true"/>
      <w:overflowPunct w:val="true"/>
      <w:autoSpaceDE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0"/>
      <w:lang w:val="pt-BR" w:eastAsia="pt-BR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Application>LibreOffice/5.0.6.2$Linux_X86_64 LibreOffice_project/00$Build-2</Application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2017-05-27T21:44:00Z</dcterms:created>
  <dc:language>en-US</dc:language>
  <dcterms:modified xsi:type="dcterms:W3CDTF">2017-07-24T17:21:11Z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