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Y </w:t>
            </w:r>
            <w:r>
              <w:rPr>
                <w:b/>
                <w:bCs/>
              </w:rPr>
              <w:t xml:space="preserve"> 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Leandro Marques Queiros, Denis Silva da Silveira,</w:t>
            </w:r>
          </w:p>
          <w:p>
            <w:pPr>
              <w:pStyle w:val="Normal"/>
              <w:rPr>
                <w:rFonts w:eastAsia="Times New Roman"/>
                <w:lang w:val="pt-BR" w:eastAsia="pt-BR"/>
              </w:rPr>
            </w:pPr>
            <w:r>
              <w:rPr>
                <w:rFonts w:eastAsia="Times New Roman"/>
                <w:lang w:val="pt-BR" w:eastAsia="pt-BR"/>
              </w:rPr>
              <w:t>Jorge da Silva Correia-Neto and Guilherme Vilar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LODPRO: learning objects development process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Resenha</w:t>
            </w:r>
            <w:r>
              <w:rPr/>
              <w:t xml:space="preserve">: </w:t>
            </w:r>
          </w:p>
          <w:p>
            <w:pPr>
              <w:pStyle w:val="EstilodeTabela2"/>
              <w:rPr/>
            </w:pPr>
            <w:r>
              <w:rPr/>
              <w:t>Estado da arte sendo a combinação de "software engineering, innovative approaches, business management, and quality management" para desenvolvimento de objetos de aprendizado.</w:t>
            </w:r>
          </w:p>
          <w:p>
            <w:pPr>
              <w:pStyle w:val="EstilodeTabela2"/>
              <w:rPr/>
            </w:pPr>
            <w:r>
              <w:rPr/>
              <w:t>Como integrar tais métodos e técnicas no desenvolvimento de Objetos de Aprendizado.</w:t>
            </w:r>
          </w:p>
          <w:p>
            <w:pPr>
              <w:pStyle w:val="EstilodeTabela2"/>
              <w:rPr/>
            </w:pPr>
            <w:r>
              <w:rPr/>
              <w:t>O papel relata que engenharia de software só pode ser utilizada quando os requerimentos são estáveis, a falta dos mesmos implica no uso da Metodologia ágil, dentro das existentes metodologias, o mesmo faz uso do método “Scrum” junto com as notações gráficas do BPMN e Design Thinking.</w:t>
            </w:r>
          </w:p>
          <w:p>
            <w:pPr>
              <w:pStyle w:val="EstilodeTabela2"/>
              <w:rPr>
                <w:u w:val="none"/>
              </w:rPr>
            </w:pPr>
            <w:r>
              <w:rPr>
                <w:u w:val="none"/>
              </w:rPr>
              <w:t>Uso do ciclo PDCA de acordo com as características e definições do LO, dívidindo-os em 11 passos: create a business plan, present it using Canvas, create insight cards, elaborate a conceptual map, run brain-storming session, make the mind map, create the storytelling, analyze the project, develop the learning tool, verify results, and validate the learning tool.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lang w:val="pt-BR"/>
              </w:rPr>
              <w:t xml:space="preserve">Olga </w:t>
            </w:r>
            <w:r>
              <w:rPr/>
              <w:t>К</w:t>
            </w:r>
            <w:r>
              <w:rPr>
                <w:lang w:val="pt-BR"/>
              </w:rPr>
              <w:t>. Alsova ;  Olga V. Kazanskaya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Training simulators for support of inductive method in teaching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Estado da arte sendo o desenvolvimento de ferramentas para e-learning educativo, seus requisitos para o método indutivo de ensino, deve suportar investigação analítica, permitindo estudantes organizar suas próprias investigações e exportar experimentos, guardar, analizar e processar os resultados.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Descreve uma possível estrutura básica para o simulador e suas funções, também fornecendo exemplos de métodos de otimização e modelação de simulação.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Informação sobre o processo de resolução(objetivo do simulador), adaptável a diferente cenários de ensino, animação(design interativo)  e feedback e comunicação com usuários.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Miranda Carney-Morris; Trevor Murphy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2016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Teaching, Learning, and Classroom Design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Estudo do ambiente de estudo dentro das faculdades, estrutura e equipamentos disponivel para explorar possibilidades, a cultura e preferência de seus alunos e como pode impactar as alterações para que seja aplicado uma nova técnica de ensino (e-Learning).</w:t>
            </w:r>
          </w:p>
        </w:tc>
      </w:tr>
    </w:tbl>
    <w:p>
      <w:pPr>
        <w:pStyle w:val="Corpo"/>
        <w:rPr/>
      </w:pPr>
      <w:r>
        <w:rPr/>
      </w:r>
    </w:p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Siegmund; Christian Kastner; Sven Apel; Chris Parnin; Anja Bethmann; Thomas Leich; Gunter Saake; André Brechmann;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2014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Understanding Understanding Source Code with 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Estudo da ativação de áreas cerebrais através do metódo BOLD(oxigenação) do qual faz uso de MRI para tais experimentos, onde programadores são testados com exercícios de síntaxe e entendimento(resolução), os resultados obtidos são analisados com intuíto de enteder o funcionamento do cérebro durante o processo de compreensão de programas. É verificado que os pacientes tem duas de abordagem para entendimento dos algoritmos, sendo “bottom-up” e “top-down” que tratam-se de situações onde o programador entende o que se passa no código-fonte e onde ele não entende, necessitando ler o código passo-a-passo, respectivamente.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também cita dificuldades encontradas em estudos envolvendo MRI, devido a técnologia  e as interferencias que podem ocorrer durante um estudo específico.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Andrés Framiñán; Pablo Ruisoto;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2013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Advanced Neuroimage Processing for the Study of the</w:t>
            </w:r>
          </w:p>
          <w:p>
            <w:pPr>
              <w:pStyle w:val="Normal"/>
              <w:rPr/>
            </w:pPr>
            <w:r>
              <w:rPr/>
              <w:t>Neurovascular System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Explicação  sobre a utilização do “OsiriX” para processamento de imagens do tipo “MR”, sendo uma ferramenta de fácil uso, permitindo aprofundar ainda mais em tópicos educacionais.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artigo provê informações sobre técnicas de visualização, obtenção, processamento, segmentação e renderização de imagens 2 e 3D, trazendo informações detalhadas das mesmas.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</w:t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Phophalia, A.; Mitra, S. K. &amp; Rajwade, A.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810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Heading1"/>
              <w:spacing w:before="240" w:after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 New Denoising Filter for Brain MR Images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State-of-Art sendo uso de filtro trilateral para alisamento(remoção de ruídos) dos cantos das imagens. O Filtro trilateral é a junção de um terceiro filtro à um ja existente filtro bilateral. São utilizados algoritmos/ferramentas matemáticos para lidar com as informações imprecizas (RST, REM &amp; RCL).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(Artigo é voltado para processamento de imagens, útil para especialização ou interessados em criação de software para o mesmo; não será de grande útilidade para nosso estudo).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  <w:lang w:val="pt-BR"/>
              </w:rPr>
              <w:t>Sathiyamurthy, K.; Geetha, T. V. &amp; Senthilvelan, M.</w:t>
            </w:r>
            <w:r>
              <w:rPr>
                <w:lang w:val="pt-BR"/>
              </w:rPr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An Approach Towards Dynamic Assembling of Learning Objects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O artigo descreve e tenta fazer a união de Objetos de Aprendizado, diminuir a “fragmentação” e repetição dos mesmos. Fazendo uso de LOR's (repositórios onde pode-se encontrar diversos Objetos de Aprendizado) e LOM (Metadata dos Objetos de Aprendizado, contendo suas informações) seguindo o padrão da IEEE.</w:t>
            </w:r>
          </w:p>
          <w:p>
            <w:pPr>
              <w:pStyle w:val="EstilodeTabela2"/>
              <w:rPr>
                <w:lang w:val="en-US"/>
              </w:rPr>
            </w:pPr>
            <w:r>
              <w:rPr>
                <w:lang w:val="en-US"/>
              </w:rPr>
              <w:t>O Estudo preza pela qualidade do Objeto à ser montado, referindo-se como “granularidade” e também leva em consideração diversas ontologias relacionadas ao desenvolvimento de Objetos de Aprendizado, cita-se “domínio, pedagogía e ontología estruturada”. Dentre os repositórios citados estão: ARIADNE, MERLOT, CAREO, SMETE.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Teemu Sirkiä; Juha Sorva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>
                <w:rFonts w:ascii="arial" w:hAnsi="arial"/>
              </w:rPr>
              <w:t>Exploring Programming Misconceptions: An Analysis of Student Mistakes in Visual Program Simulation Exercises</w:t>
            </w:r>
            <w:r>
              <w:rPr/>
              <w:t xml:space="preserve"> 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 O artigo trata o estudo de estudantes, entendimento e exploração de seus erros através da ferramenta “UUhistle” voltada para programação, as técnicas e informações retratadas no estudo podem ser reutilizadas em outros contextos.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Através dos logs da aplicação, pode-se estudar os diferentes tipos de erros cometidos pelos estudantes e classificá-los (conceitual, relação com a ferramenta e erros comuns) e com os resultados obtidos, são formuladas questões para melhoria do conhecimento e ensino de tais equívocos presentes.</w:t>
            </w:r>
          </w:p>
          <w:p>
            <w:pPr>
              <w:pStyle w:val="EstilodeTabela2"/>
              <w:rPr/>
            </w:pPr>
            <w:r>
              <w:rPr>
                <w:lang w:val="en-US"/>
              </w:rPr>
              <w:t>Animação de Programa é uma forma de visualização da execução dos passos do programa, que é agradável ao usuário de um sistema educacional.</w:t>
            </w:r>
          </w:p>
        </w:tc>
      </w:tr>
    </w:tbl>
    <w:p>
      <w:pPr>
        <w:pStyle w:val="Corpo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8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Janet Siegmund σ , André Brechmann θ , Sven Apel π , Christian Kästner ω , Jörg Liebig π , Thomas Leich δ , and Gunter Saake σ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2012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Toward Measuring Program Comprehension with</w:t>
            </w:r>
          </w:p>
          <w:p>
            <w:pPr>
              <w:pStyle w:val="Normal"/>
              <w:rPr/>
            </w:pPr>
            <w:r>
              <w:rPr/>
              <w:t>Functional Magnetic Resonance Imaging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8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7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>Basicamente um pre-work do siegmund2014.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 Learning Object Sucess story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>
                <w:b/>
                <w:b/>
                <w:bCs/>
              </w:rPr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 xml:space="preserve">: </w:t>
            </w:r>
            <w:r>
              <w:rPr>
                <w:lang w:val="en-US"/>
              </w:rPr>
              <w:t xml:space="preserve">Narrativa dos passos seguidos durante a construção e aplicação de um LO dentro de um curso, O artigo apresenta as diversas alternativas de decisões que poderiam ser aplicadas e </w:t>
            </w:r>
            <w:r>
              <w:rPr>
                <w:lang w:val="en-US"/>
              </w:rPr>
              <w:t>o que teve de ser levado em consideração: perspectiva dos alunos, mudanças em seu aprendizado, aceitação e concordância do LO e feedback, dentre outros. Também é discutido a forma dos Objetos de Aprendizado, cursos inteiros feitos em LO ou integraação em cursos ja existentes.</w:t>
            </w:r>
          </w:p>
        </w:tc>
      </w:tr>
    </w:tbl>
    <w:p>
      <w:pPr>
        <w:pStyle w:val="Normal"/>
        <w:rPr/>
      </w:pPr>
      <w:r>
        <w:rPr/>
      </w:r>
    </w:p>
    <w:tbl>
      <w:tblPr>
        <w:tblW w:w="9557" w:type="dxa"/>
        <w:jc w:val="left"/>
        <w:tblInd w:w="-116" w:type="dxa"/>
        <w:tblBorders>
          <w:top w:val="single" w:sz="12" w:space="0" w:color="000001"/>
          <w:left w:val="single" w:sz="12" w:space="0" w:color="000001"/>
          <w:bottom w:val="single" w:sz="12" w:space="0" w:color="000001"/>
          <w:right w:val="single" w:sz="12" w:space="0" w:color="000001"/>
          <w:insideH w:val="single" w:sz="12" w:space="0" w:color="000001"/>
          <w:insideV w:val="single" w:sz="12" w:space="0" w:color="000001"/>
        </w:tblBorders>
        <w:tblCellMar>
          <w:top w:w="80" w:type="dxa"/>
          <w:left w:w="-15" w:type="dxa"/>
          <w:bottom w:w="80" w:type="dxa"/>
          <w:right w:w="80" w:type="dxa"/>
        </w:tblCellMar>
      </w:tblPr>
      <w:tblGrid>
        <w:gridCol w:w="806"/>
        <w:gridCol w:w="6960"/>
        <w:gridCol w:w="1023"/>
        <w:gridCol w:w="767"/>
      </w:tblGrid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Autor: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Ano: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2005</w:t>
            </w:r>
          </w:p>
        </w:tc>
      </w:tr>
      <w:tr>
        <w:trPr>
          <w:trHeight w:val="279" w:hRule="atLeast"/>
        </w:trPr>
        <w:tc>
          <w:tcPr>
            <w:tcW w:w="806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Título:</w:t>
            </w:r>
          </w:p>
        </w:tc>
        <w:tc>
          <w:tcPr>
            <w:tcW w:w="6960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  <w:t>A Learning Object Sucess story</w:t>
            </w:r>
          </w:p>
        </w:tc>
        <w:tc>
          <w:tcPr>
            <w:tcW w:w="1023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BFBFB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</w:rPr>
              <w:t>Qualis:</w:t>
            </w:r>
          </w:p>
        </w:tc>
        <w:tc>
          <w:tcPr>
            <w:tcW w:w="767" w:type="dxa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291" w:hRule="atLeast"/>
        </w:trPr>
        <w:tc>
          <w:tcPr>
            <w:tcW w:w="9556" w:type="dxa"/>
            <w:gridSpan w:val="4"/>
            <w:tcBorders>
              <w:top w:val="single" w:sz="12" w:space="0" w:color="000001"/>
              <w:left w:val="single" w:sz="12" w:space="0" w:color="000001"/>
              <w:bottom w:val="single" w:sz="12" w:space="0" w:color="000001"/>
              <w:right w:val="single" w:sz="12" w:space="0" w:color="000001"/>
              <w:insideH w:val="single" w:sz="12" w:space="0" w:color="000001"/>
              <w:insideV w:val="single" w:sz="12" w:space="0" w:color="000001"/>
            </w:tcBorders>
            <w:shd w:fill="FFFFFF" w:val="clear"/>
            <w:tcMar>
              <w:left w:w="-15" w:type="dxa"/>
            </w:tcMar>
          </w:tcPr>
          <w:p>
            <w:pPr>
              <w:pStyle w:val="EstilodeTabela2"/>
              <w:rPr/>
            </w:pPr>
            <w:r>
              <w:rPr>
                <w:b/>
                <w:bCs/>
                <w:lang w:val="en-US"/>
              </w:rPr>
              <w:t>Resenha</w:t>
            </w:r>
            <w:r>
              <w:rPr>
                <w:lang w:val="en-US"/>
              </w:rPr>
              <w:t>: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09" w:top="1134" w:footer="850" w:bottom="1134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sz w:val="20"/>
        <w:lang w:val="pt-BR" w:eastAsia="pt-BR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Times New Roman" w:hAnsi="Times New Roman" w:eastAsia="Arial Unicode MS" w:cs="Times New Roman"/>
      <w:color w:val="00000A"/>
      <w:sz w:val="24"/>
      <w:szCs w:val="24"/>
      <w:lang w:val="en-US" w:eastAsia="en-US" w:bidi="ar-SA"/>
    </w:rPr>
  </w:style>
  <w:style w:type="paragraph" w:styleId="Heading1">
    <w:name w:val="Heading 1"/>
    <w:basedOn w:val="Heading"/>
    <w:qFormat/>
    <w:pPr/>
    <w:rPr/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u w:val="single"/>
    </w:rPr>
  </w:style>
  <w:style w:type="character" w:styleId="Authorname">
    <w:name w:val="authorname"/>
    <w:basedOn w:val="DefaultParagraphFont"/>
    <w:qFormat/>
    <w:rPr/>
  </w:style>
  <w:style w:type="character" w:styleId="Usronly">
    <w:name w:val="u-sronly"/>
    <w:basedOn w:val="DefaultParagraphFont"/>
    <w:qFormat/>
    <w:rPr/>
  </w:style>
  <w:style w:type="character" w:styleId="Appleconvertedspace">
    <w:name w:val="apple-converted-space"/>
    <w:basedOn w:val="DefaultParagraphFont"/>
    <w:qFormat/>
    <w:rPr/>
  </w:style>
  <w:style w:type="character" w:styleId="Authorsinfo">
    <w:name w:val="authors-info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rPr>
      <w:b/>
      <w:bCs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orpo">
    <w:name w:val="Corpo"/>
    <w:qFormat/>
    <w:pPr>
      <w:widowControl/>
      <w:overflowPunct w:val="false"/>
      <w:bidi w:val="0"/>
      <w:jc w:val="left"/>
    </w:pPr>
    <w:rPr>
      <w:rFonts w:ascii="Helvetica" w:hAnsi="Helvetica" w:eastAsia="Arial Unicode MS" w:cs="Arial Unicode MS"/>
      <w:color w:val="000000"/>
      <w:sz w:val="22"/>
      <w:szCs w:val="22"/>
      <w:lang w:val="pt-BR" w:eastAsia="pt-BR" w:bidi="ar-SA"/>
    </w:rPr>
  </w:style>
  <w:style w:type="paragraph" w:styleId="EstilodeTabela2">
    <w:name w:val="Estilo de Tabela 2"/>
    <w:qFormat/>
    <w:pPr>
      <w:widowControl/>
      <w:overflowPunct w:val="false"/>
      <w:bidi w:val="0"/>
      <w:jc w:val="left"/>
    </w:pPr>
    <w:rPr>
      <w:rFonts w:ascii="Helvetica" w:hAnsi="Helvetica" w:eastAsia="Arial Unicode MS" w:cs="Arial Unicode MS"/>
      <w:color w:val="000000"/>
      <w:sz w:val="24"/>
      <w:szCs w:val="20"/>
      <w:lang w:val="pt-BR" w:eastAsia="pt-BR" w:bidi="ar-SA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3431</TotalTime>
  <Application>LibreOffice/5.0.6.2$Linux_X86_64 LibreOffice_project/00$Build-2</Application>
  <Paragraphs>104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2017-05-27T21:44:00Z</dcterms:created>
  <dc:language>en-US</dc:language>
  <dcterms:modified xsi:type="dcterms:W3CDTF">2017-08-01T17:58:54Z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