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557" w:type="dxa"/>
        <w:jc w:val="left"/>
        <w:tblInd w:w="4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35" w:type="dxa"/>
          <w:bottom w:w="80" w:type="dxa"/>
          <w:right w:w="80" w:type="dxa"/>
        </w:tblCellMar>
        <w:tblLook w:val="04a0"/>
      </w:tblPr>
      <w:tblGrid>
        <w:gridCol w:w="806"/>
        <w:gridCol w:w="6959"/>
        <w:gridCol w:w="1022"/>
        <w:gridCol w:w="769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4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35" w:type="dxa"/>
          <w:bottom w:w="80" w:type="dxa"/>
          <w:right w:w="80" w:type="dxa"/>
        </w:tblCellMar>
        <w:tblLook w:val="04a0"/>
      </w:tblPr>
      <w:tblGrid>
        <w:gridCol w:w="806"/>
        <w:gridCol w:w="6959"/>
        <w:gridCol w:w="1022"/>
        <w:gridCol w:w="769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 xml:space="preserve">Estado da arte sendo o desenvolvimento de ferramentas para e-learning educativo, seus requisitos para o método indutivo de ensino, deve suportar investigação analítica, permitindo </w:t>
            </w:r>
            <w:r>
              <w:rPr>
                <w:lang w:val="en-US"/>
              </w:rPr>
              <w:t>estudantes organizar suas próprias investigações e exportar experimentos, guardar, analizar e processar os resultados.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Descreve uma possível estrutura básica para o simulador e suas funções, também fornecendo exemplos de métodos de otimização e modelação de simulação.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 xml:space="preserve">Informação </w:t>
            </w:r>
            <w:r>
              <w:rPr>
                <w:lang w:val="en-US"/>
              </w:rPr>
              <w:t>sobre o processo de resolução(objetivo do simulador), adaptável a diferente cenários de ensino, animação(design interativo)  e feedback e comunicação com usuários.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4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35" w:type="dxa"/>
          <w:bottom w:w="80" w:type="dxa"/>
          <w:right w:w="80" w:type="dxa"/>
        </w:tblCellMar>
        <w:tblLook w:val="04a0"/>
      </w:tblPr>
      <w:tblGrid>
        <w:gridCol w:w="806"/>
        <w:gridCol w:w="6959"/>
        <w:gridCol w:w="1022"/>
        <w:gridCol w:w="769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5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bbb"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7d1bbb"/>
    <w:rPr>
      <w:u w:val="single"/>
    </w:rPr>
  </w:style>
  <w:style w:type="character" w:styleId="Authorname" w:customStyle="1">
    <w:name w:val="authorname"/>
    <w:basedOn w:val="DefaultParagraphFont"/>
    <w:qFormat/>
    <w:rsid w:val="00ff6ebb"/>
    <w:rPr/>
  </w:style>
  <w:style w:type="character" w:styleId="Usronly" w:customStyle="1">
    <w:name w:val="u-sronly"/>
    <w:basedOn w:val="DefaultParagraphFont"/>
    <w:qFormat/>
    <w:rsid w:val="00ff6ebb"/>
    <w:rPr/>
  </w:style>
  <w:style w:type="character" w:styleId="Appleconvertedspace" w:customStyle="1">
    <w:name w:val="apple-converted-space"/>
    <w:basedOn w:val="DefaultParagraphFont"/>
    <w:qFormat/>
    <w:rsid w:val="00ff6ebb"/>
    <w:rPr/>
  </w:style>
  <w:style w:type="character" w:styleId="Authorsinfo" w:customStyle="1">
    <w:name w:val="authors-info"/>
    <w:basedOn w:val="DefaultParagraphFont"/>
    <w:qFormat/>
    <w:rsid w:val="00643ffe"/>
    <w:rPr/>
  </w:style>
  <w:style w:type="character" w:styleId="Ngscope" w:customStyle="1">
    <w:name w:val="ng-scope"/>
    <w:basedOn w:val="DefaultParagraphFont"/>
    <w:qFormat/>
    <w:rsid w:val="00643ffe"/>
    <w:rPr/>
  </w:style>
  <w:style w:type="character" w:styleId="Ngbinding" w:customStyle="1">
    <w:name w:val="ng-binding"/>
    <w:basedOn w:val="DefaultParagraphFont"/>
    <w:qFormat/>
    <w:rsid w:val="00643ff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 w:customStyle="1">
    <w:name w:val="Corpo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pt-BR" w:eastAsia="pt-BR" w:bidi="ar-SA"/>
    </w:rPr>
  </w:style>
  <w:style w:type="paragraph" w:styleId="EstilodeTabela2" w:customStyle="1">
    <w:name w:val="Estilo de Tabela 2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1b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Application>LibreOffice/5.0.6.2$Linux_X86_64 LibreOffice_project/00$Build-2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2017-07-12T16:17:45Z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