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57" w:type="dxa"/>
        <w:jc w:val="left"/>
        <w:tblInd w:w="-57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-15" w:type="dxa"/>
          <w:bottom w:w="80" w:type="dxa"/>
          <w:right w:w="80" w:type="dxa"/>
        </w:tblCellMar>
      </w:tblPr>
      <w:tblGrid>
        <w:gridCol w:w="806"/>
        <w:gridCol w:w="6960"/>
        <w:gridCol w:w="1023"/>
        <w:gridCol w:w="767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>
                <w:rFonts w:eastAsia="Times New Roman"/>
                <w:lang w:val="pt-BR" w:eastAsia="pt-BR"/>
              </w:rPr>
            </w:pPr>
            <w:r>
              <w:rPr>
                <w:rFonts w:eastAsia="Times New Roman"/>
                <w:lang w:val="pt-BR" w:eastAsia="pt-BR"/>
              </w:rPr>
              <w:t>Leandro Marques Queiros, Denis Silva da Silveira,</w:t>
            </w:r>
          </w:p>
          <w:p>
            <w:pPr>
              <w:pStyle w:val="Normal"/>
              <w:rPr>
                <w:rFonts w:eastAsia="Times New Roman"/>
                <w:lang w:val="pt-BR" w:eastAsia="pt-BR"/>
              </w:rPr>
            </w:pPr>
            <w:r>
              <w:rPr>
                <w:rFonts w:eastAsia="Times New Roman"/>
                <w:lang w:val="pt-BR" w:eastAsia="pt-BR"/>
              </w:rPr>
              <w:t>Jorge da Silva Correia-Neto and Guilherme Vilar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Ano: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2016</w:t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LODPRO: learning objects development process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Qualis: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6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Resenha</w:t>
            </w:r>
            <w:r>
              <w:rPr/>
              <w:t xml:space="preserve">: </w:t>
            </w:r>
          </w:p>
          <w:p>
            <w:pPr>
              <w:pStyle w:val="EstilodeTabela2"/>
              <w:rPr/>
            </w:pPr>
            <w:r>
              <w:rPr/>
              <w:t>Estado da arte sendo a combinação de "software engineering, innovative approaches, business management, and quality management" para desenvolvimento de objetos de aprendizado.</w:t>
            </w:r>
          </w:p>
          <w:p>
            <w:pPr>
              <w:pStyle w:val="EstilodeTabela2"/>
              <w:rPr/>
            </w:pPr>
            <w:r>
              <w:rPr/>
              <w:t>Como integrar tais métodos e técnicas no desenvolvimento de Objetos de Aprendizado.</w:t>
            </w:r>
          </w:p>
          <w:p>
            <w:pPr>
              <w:pStyle w:val="EstilodeTabela2"/>
              <w:rPr/>
            </w:pPr>
            <w:r>
              <w:rPr/>
              <w:t>O papel relata que engenharia de software só pode ser utilizada quando os requerimentos são estáveis, a falta dos mesmos implica no uso da Metodologia ágil, dentro das existentes metodologias, o mesmo faz uso do método “Scrum” junto com as notações gráficas do BPMN e Design Thinking.</w:t>
            </w:r>
          </w:p>
          <w:p>
            <w:pPr>
              <w:pStyle w:val="EstilodeTabela2"/>
              <w:rPr>
                <w:u w:val="none"/>
              </w:rPr>
            </w:pPr>
            <w:r>
              <w:rPr>
                <w:u w:val="none"/>
              </w:rPr>
              <w:t>Uso do ciclo PDCA de acordo com as características e definições do LO, dívidindo-os em 11 passos: create a business plan, present it using Canvas, create insight cards, elaborate a conceptual map, run brain-storming session, make the mind map, create the storytelling, analyze the project, develop the learning tool, verify results, and validate the learning tool.</w:t>
            </w:r>
          </w:p>
        </w:tc>
      </w:tr>
    </w:tbl>
    <w:p>
      <w:pPr>
        <w:pStyle w:val="Corpo"/>
        <w:rPr/>
      </w:pPr>
      <w:r>
        <w:rPr/>
      </w:r>
    </w:p>
    <w:p>
      <w:pPr>
        <w:pStyle w:val="Corpo"/>
        <w:rPr/>
      </w:pPr>
      <w:r>
        <w:rPr/>
      </w:r>
    </w:p>
    <w:tbl>
      <w:tblPr>
        <w:tblW w:w="9557" w:type="dxa"/>
        <w:jc w:val="left"/>
        <w:tblInd w:w="-57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-15" w:type="dxa"/>
          <w:bottom w:w="80" w:type="dxa"/>
          <w:right w:w="80" w:type="dxa"/>
        </w:tblCellMar>
      </w:tblPr>
      <w:tblGrid>
        <w:gridCol w:w="806"/>
        <w:gridCol w:w="6960"/>
        <w:gridCol w:w="1023"/>
        <w:gridCol w:w="767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>
                <w:lang w:val="pt-BR"/>
              </w:rPr>
              <w:t xml:space="preserve">Olga </w:t>
            </w:r>
            <w:r>
              <w:rPr/>
              <w:t>К</w:t>
            </w:r>
            <w:r>
              <w:rPr>
                <w:lang w:val="pt-BR"/>
              </w:rPr>
              <w:t>. Alsova ;  Olga V. Kazanskaya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Ano: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2016</w:t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Training simulators for support of inductive method in teaching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Qualis: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6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  <w:lang w:val="en-US"/>
              </w:rPr>
              <w:t>Resenha</w:t>
            </w:r>
            <w:r>
              <w:rPr>
                <w:lang w:val="en-US"/>
              </w:rPr>
              <w:t>:</w:t>
            </w:r>
          </w:p>
          <w:p>
            <w:pPr>
              <w:pStyle w:val="EstilodeTabela2"/>
              <w:rPr>
                <w:lang w:val="en-US"/>
              </w:rPr>
            </w:pPr>
            <w:r>
              <w:rPr>
                <w:lang w:val="en-US"/>
              </w:rPr>
              <w:t>Estado da arte sendo o desenvolvimento de ferramentas para e-learning educativo, seus requisitos para o método indutivo de ensino, deve suportar investigação analítica, permitindo estudantes organizar suas próprias investigações e exportar experimentos, guardar, analizar e processar os resultados.</w:t>
            </w:r>
          </w:p>
          <w:p>
            <w:pPr>
              <w:pStyle w:val="EstilodeTabela2"/>
              <w:rPr>
                <w:lang w:val="en-US"/>
              </w:rPr>
            </w:pPr>
            <w:r>
              <w:rPr>
                <w:lang w:val="en-US"/>
              </w:rPr>
              <w:t>Descreve uma possível estrutura básica para o simulador e suas funções, também fornecendo exemplos de métodos de otimização e modelação de simulação.</w:t>
            </w:r>
          </w:p>
          <w:p>
            <w:pPr>
              <w:pStyle w:val="EstilodeTabela2"/>
              <w:rPr>
                <w:lang w:val="en-US"/>
              </w:rPr>
            </w:pPr>
            <w:r>
              <w:rPr>
                <w:lang w:val="en-US"/>
              </w:rPr>
              <w:t>Informação sobre o processo de resolução(objetivo do simulador), adaptável a diferente cenários de ensino, animação(design interativo)  e feedback e comunicação com usuários.</w:t>
            </w:r>
          </w:p>
        </w:tc>
      </w:tr>
    </w:tbl>
    <w:p>
      <w:pPr>
        <w:pStyle w:val="Corpo"/>
        <w:rPr/>
      </w:pPr>
      <w:r>
        <w:rPr/>
      </w:r>
    </w:p>
    <w:p>
      <w:pPr>
        <w:pStyle w:val="Corpo"/>
        <w:rPr/>
      </w:pPr>
      <w:r>
        <w:rPr/>
      </w:r>
    </w:p>
    <w:tbl>
      <w:tblPr>
        <w:tblW w:w="9557" w:type="dxa"/>
        <w:jc w:val="left"/>
        <w:tblInd w:w="-57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-15" w:type="dxa"/>
          <w:bottom w:w="80" w:type="dxa"/>
          <w:right w:w="80" w:type="dxa"/>
        </w:tblCellMar>
      </w:tblPr>
      <w:tblGrid>
        <w:gridCol w:w="806"/>
        <w:gridCol w:w="6960"/>
        <w:gridCol w:w="1023"/>
        <w:gridCol w:w="767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Miranda Carney-Morris; Trevor Murphy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Ano: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2016</w:t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Teaching, Learning, and Classroom Design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Qualis: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6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  <w:lang w:val="en-US"/>
              </w:rPr>
              <w:t>Resenha</w:t>
            </w:r>
            <w:r>
              <w:rPr>
                <w:lang w:val="en-US"/>
              </w:rPr>
              <w:t>:</w:t>
            </w:r>
          </w:p>
          <w:p>
            <w:pPr>
              <w:pStyle w:val="EstilodeTabela2"/>
              <w:rPr>
                <w:lang w:val="en-US"/>
              </w:rPr>
            </w:pPr>
            <w:r>
              <w:rPr>
                <w:lang w:val="en-US"/>
              </w:rPr>
              <w:t>Estudo do ambiente de estudo dentro das faculdades, estrutura e equipamentos disponivel para explorar possibilidades, a cultura e preferência de seus alunos e como pode impactar as alterações para que seja aplicado uma nova técnica de ensino (e-Learning).</w:t>
            </w:r>
          </w:p>
        </w:tc>
      </w:tr>
    </w:tbl>
    <w:p>
      <w:pPr>
        <w:pStyle w:val="Corpo"/>
        <w:rPr/>
      </w:pPr>
      <w:r>
        <w:rPr/>
      </w:r>
    </w:p>
    <w:p>
      <w:pPr>
        <w:pStyle w:val="Corpo"/>
        <w:rPr/>
      </w:pPr>
      <w:r>
        <w:rPr/>
      </w:r>
    </w:p>
    <w:tbl>
      <w:tblPr>
        <w:tblW w:w="9557" w:type="dxa"/>
        <w:jc w:val="left"/>
        <w:tblInd w:w="-57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-15" w:type="dxa"/>
          <w:bottom w:w="80" w:type="dxa"/>
          <w:right w:w="80" w:type="dxa"/>
        </w:tblCellMar>
      </w:tblPr>
      <w:tblGrid>
        <w:gridCol w:w="806"/>
        <w:gridCol w:w="6960"/>
        <w:gridCol w:w="1023"/>
        <w:gridCol w:w="767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Janet Siegmund; Christian Kastner; Sven Apel; Chris Parnin; Anja Bethmann; Thomas Leich; Gunter Saake; André Brechmann;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Ano: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2014</w:t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Understanding Understanding Source Code with Functional Magnetic Resonance Imaging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Qualis: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6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  <w:lang w:val="en-US"/>
              </w:rPr>
              <w:t>Resenha</w:t>
            </w:r>
            <w:r>
              <w:rPr>
                <w:lang w:val="en-US"/>
              </w:rPr>
              <w:t>: Estudo da ativação de áreas cerebrais através do metódo BOLD(oxigenação) do qual faz uso de MRI para tais experimentos, onde programadores são testados com exercícios de síntaxe e entendimento(resolução), os resultados obtidos são analisados com intuíto de enteder o funcionamento do cérebro durante o processo de compreensão de programas. É verificado que os pacientes tem duas de abordagem para entendimento dos algoritmos, sendo “bottom-up” e “top-down” que tratam-se de situações onde o programador entende o que se passa no código-fonte e onde ele não entende, necessitando ler o código passo-a-passo, respectivamente.</w:t>
            </w:r>
          </w:p>
          <w:p>
            <w:pPr>
              <w:pStyle w:val="EstilodeTabela2"/>
              <w:rPr>
                <w:lang w:val="en-US"/>
              </w:rPr>
            </w:pPr>
            <w:r>
              <w:rPr>
                <w:lang w:val="en-US"/>
              </w:rPr>
              <w:t>O artigo também cita dificuldades encontradas em estudos envolvendo MRI, devido a técnologia  e as interferencias que podem ocorrer durante um estudo específico.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557" w:type="dxa"/>
        <w:jc w:val="left"/>
        <w:tblInd w:w="-57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-15" w:type="dxa"/>
          <w:bottom w:w="80" w:type="dxa"/>
          <w:right w:w="80" w:type="dxa"/>
        </w:tblCellMar>
      </w:tblPr>
      <w:tblGrid>
        <w:gridCol w:w="806"/>
        <w:gridCol w:w="6960"/>
        <w:gridCol w:w="1023"/>
        <w:gridCol w:w="767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Andrés Framiñán; Pablo Ruisoto;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Ano: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2013</w:t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Advanced Neuroimage Processing for the Study of the</w:t>
            </w:r>
          </w:p>
          <w:p>
            <w:pPr>
              <w:pStyle w:val="Normal"/>
              <w:rPr/>
            </w:pPr>
            <w:r>
              <w:rPr/>
              <w:t>Neurovascular System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Qualis: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6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  <w:lang w:val="en-US"/>
              </w:rPr>
              <w:t>Resenha</w:t>
            </w:r>
            <w:r>
              <w:rPr>
                <w:lang w:val="en-US"/>
              </w:rPr>
              <w:t>: Explicação  sobre a utilização do “OsiriX” para processamento de imagens do tipo “MR”, sendo uma ferramenta de fácil uso, permitindo aprofundar ainda mais em tópicos educacionais.</w:t>
            </w:r>
          </w:p>
          <w:p>
            <w:pPr>
              <w:pStyle w:val="EstilodeTabela2"/>
              <w:rPr>
                <w:lang w:val="en-US"/>
              </w:rPr>
            </w:pPr>
            <w:r>
              <w:rPr>
                <w:lang w:val="en-US"/>
              </w:rPr>
              <w:t>O artigo provê informações sobre técnicas de visualização, obtenção, processamento, segmentação e renderização de imagens 2 e 3D, trazendo informações detalhadas das mesmas.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tbl>
      <w:tblPr>
        <w:tblW w:w="9557" w:type="dxa"/>
        <w:jc w:val="left"/>
        <w:tblInd w:w="-57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-15" w:type="dxa"/>
          <w:bottom w:w="80" w:type="dxa"/>
          <w:right w:w="80" w:type="dxa"/>
        </w:tblCellMar>
      </w:tblPr>
      <w:tblGrid>
        <w:gridCol w:w="806"/>
        <w:gridCol w:w="6960"/>
        <w:gridCol w:w="1023"/>
        <w:gridCol w:w="767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>
                <w:rFonts w:ascii="arial" w:hAnsi="arial"/>
                <w:lang w:val="pt-BR"/>
              </w:rPr>
              <w:t>Phophalia, A.; Mitra, S. K. &amp; Rajwade, A.</w:t>
            </w:r>
            <w:r>
              <w:rPr>
                <w:lang w:val="pt-BR"/>
              </w:rPr>
              <w:t xml:space="preserve"> 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Ano: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2012</w:t>
            </w:r>
          </w:p>
        </w:tc>
      </w:tr>
      <w:tr>
        <w:trPr>
          <w:trHeight w:val="810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Heading1"/>
              <w:spacing w:before="24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New Denoising Filter for Brain MR Images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Qualis: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6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  <w:lang w:val="en-US"/>
              </w:rPr>
              <w:t>Resenha</w:t>
            </w:r>
            <w:r>
              <w:rPr>
                <w:lang w:val="en-US"/>
              </w:rPr>
              <w:t>: State-of-Art sendo uso de filtro trilateral para alisamento(remoção de ruídos) dos cantos das imagens. O Filtro trilateral é a junção de um terceiro filtro à um ja existente filtro bilateral. São utilizados algoritmos/ferramentas matemáticos para lidar com as informações imprecizas (RST, REM &amp; RCL).</w:t>
            </w:r>
          </w:p>
          <w:p>
            <w:pPr>
              <w:pStyle w:val="EstilodeTabela2"/>
              <w:rPr>
                <w:lang w:val="en-US"/>
              </w:rPr>
            </w:pPr>
            <w:r>
              <w:rPr>
                <w:lang w:val="en-US"/>
              </w:rPr>
              <w:t>(Artigo é voltado para processamento de imagens, útil para especialização ou interessados em criação de software para o mesmo; não será de grande útilidade para nosso estudo).</w:t>
            </w:r>
          </w:p>
        </w:tc>
      </w:tr>
    </w:tbl>
    <w:p>
      <w:pPr>
        <w:pStyle w:val="Corpo"/>
        <w:rPr/>
      </w:pPr>
      <w:r>
        <w:rPr/>
      </w:r>
    </w:p>
    <w:tbl>
      <w:tblPr>
        <w:tblW w:w="9557" w:type="dxa"/>
        <w:jc w:val="left"/>
        <w:tblInd w:w="-57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-15" w:type="dxa"/>
          <w:bottom w:w="80" w:type="dxa"/>
          <w:right w:w="80" w:type="dxa"/>
        </w:tblCellMar>
      </w:tblPr>
      <w:tblGrid>
        <w:gridCol w:w="806"/>
        <w:gridCol w:w="6960"/>
        <w:gridCol w:w="1023"/>
        <w:gridCol w:w="767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>
                <w:rFonts w:ascii="arial" w:hAnsi="arial"/>
                <w:lang w:val="pt-BR"/>
              </w:rPr>
              <w:t>Sathiyamurthy, K.; Geetha, T. V. &amp; Senthilvelan, M.</w:t>
            </w:r>
            <w:r>
              <w:rPr>
                <w:lang w:val="pt-BR"/>
              </w:rPr>
              <w:t xml:space="preserve"> 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Ano: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2012</w:t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>
                <w:rFonts w:ascii="arial" w:hAnsi="arial"/>
              </w:rPr>
              <w:t>An Approach Towards Dynamic Assembling of Learning Objects</w:t>
            </w:r>
            <w:r>
              <w:rPr/>
              <w:t xml:space="preserve"> 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Qualis: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6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  <w:lang w:val="en-US"/>
              </w:rPr>
              <w:t>Resenha</w:t>
            </w:r>
            <w:r>
              <w:rPr>
                <w:lang w:val="en-US"/>
              </w:rPr>
              <w:t>: O artigo descreve e tenta fazer a união de Objetos de Aprendizado, diminuir a “fragmentação” e repetição dos mesmos. Fazendo uso de LOR's (repositórios onde pode-se encontrar diversos Objetos de Aprendizado) e LOM (Metadata dos Objetos de Aprendizado, contendo suas informações) seguindo o padrão da IEEE.</w:t>
            </w:r>
          </w:p>
          <w:p>
            <w:pPr>
              <w:pStyle w:val="EstilodeTabela2"/>
              <w:rPr>
                <w:lang w:val="en-US"/>
              </w:rPr>
            </w:pPr>
            <w:r>
              <w:rPr>
                <w:lang w:val="en-US"/>
              </w:rPr>
              <w:t>O Estudo preza pela qualidade do Objeto à ser montado, referindo-se como “granularidade” e também leva em consideração diversas ontologias relacionadas ao desenvolvimento de Objetos de Aprendizado, cita-se “domínio, pedagogía e ontología estruturada”. Dentre os repositórios citados estão: ARIADNE, MERLOT, CAREO, SMETE.</w:t>
            </w:r>
          </w:p>
        </w:tc>
      </w:tr>
    </w:tbl>
    <w:p>
      <w:pPr>
        <w:pStyle w:val="Corpo"/>
        <w:rPr/>
      </w:pPr>
      <w:r>
        <w:rPr/>
      </w:r>
    </w:p>
    <w:tbl>
      <w:tblPr>
        <w:tblW w:w="9557" w:type="dxa"/>
        <w:jc w:val="left"/>
        <w:tblInd w:w="-57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-15" w:type="dxa"/>
          <w:bottom w:w="80" w:type="dxa"/>
          <w:right w:w="80" w:type="dxa"/>
        </w:tblCellMar>
      </w:tblPr>
      <w:tblGrid>
        <w:gridCol w:w="806"/>
        <w:gridCol w:w="6960"/>
        <w:gridCol w:w="1023"/>
        <w:gridCol w:w="767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Autor: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Teemu Sirkiä; Juha Sorva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Ano: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2012</w:t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>
                <w:rFonts w:ascii="arial" w:hAnsi="arial"/>
              </w:rPr>
              <w:t>Exploring Programming Misconceptions: An Analysis of Student Mistakes in Visual Program Simulation Exercises</w:t>
            </w:r>
            <w:r>
              <w:rPr/>
              <w:t xml:space="preserve"> 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Qualis: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6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  <w:lang w:val="en-US"/>
              </w:rPr>
              <w:t>Resenha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O artigo trata o estudo de estudantes, entendimento e exploração de seus erros através da ferramenta “UUhistle” voltada para programação, as técnicas e informações retratadas no estudo podem ser reutilizadas em outros contextos.</w:t>
            </w:r>
          </w:p>
          <w:p>
            <w:pPr>
              <w:pStyle w:val="EstilodeTabela2"/>
              <w:rPr/>
            </w:pPr>
            <w:r>
              <w:rPr>
                <w:lang w:val="en-US"/>
              </w:rPr>
              <w:t>A</w:t>
            </w:r>
            <w:r>
              <w:rPr>
                <w:lang w:val="en-US"/>
              </w:rPr>
              <w:t xml:space="preserve">través dos logs da aplicação, pode-se estudar os diferentes tipos de erros cometidos pelos estudantes e classificá-los (conceitual, relação com a ferramenta e erros comuns) </w:t>
            </w:r>
            <w:r>
              <w:rPr>
                <w:lang w:val="en-US"/>
              </w:rPr>
              <w:t>e com os resultados obtidos, são formuladas questões para melhoria do conhecimento e ensino de tais equívocos presentes.</w:t>
            </w:r>
          </w:p>
          <w:p>
            <w:pPr>
              <w:pStyle w:val="EstilodeTabela2"/>
              <w:rPr/>
            </w:pPr>
            <w:r>
              <w:rPr>
                <w:lang w:val="en-US"/>
              </w:rPr>
              <w:t>Animação de Programa é uma forma de visualização da execução dos passos do programa, que é agradável ao usuário de um sistema educacional.</w:t>
            </w:r>
          </w:p>
        </w:tc>
      </w:tr>
    </w:tbl>
    <w:p>
      <w:pPr>
        <w:pStyle w:val="Corpo"/>
        <w:rPr/>
      </w:pPr>
      <w:r>
        <w:rPr/>
      </w:r>
    </w:p>
    <w:tbl>
      <w:tblPr>
        <w:tblW w:w="9557" w:type="dxa"/>
        <w:jc w:val="left"/>
        <w:tblInd w:w="-57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-15" w:type="dxa"/>
          <w:bottom w:w="80" w:type="dxa"/>
          <w:right w:w="80" w:type="dxa"/>
        </w:tblCellMar>
      </w:tblPr>
      <w:tblGrid>
        <w:gridCol w:w="806"/>
        <w:gridCol w:w="6960"/>
        <w:gridCol w:w="1023"/>
        <w:gridCol w:w="767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Ano: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Qualis: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6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  <w:lang w:val="en-US"/>
              </w:rPr>
              <w:t>Resenha</w:t>
            </w:r>
            <w:r>
              <w:rPr>
                <w:lang w:val="en-US"/>
              </w:rPr>
              <w:t>: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sz w:val="20"/>
        <w:lang w:val="pt-BR" w:eastAsia="pt-BR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Times New Roman" w:hAnsi="Times New Roman" w:eastAsia="Arial Unicode MS" w:cs="Times New Roman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u w:val="single"/>
    </w:rPr>
  </w:style>
  <w:style w:type="character" w:styleId="Authorname">
    <w:name w:val="authorname"/>
    <w:basedOn w:val="DefaultParagraphFont"/>
    <w:qFormat/>
    <w:rPr/>
  </w:style>
  <w:style w:type="character" w:styleId="Usronly">
    <w:name w:val="u-sronly"/>
    <w:basedOn w:val="DefaultParagraph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Authorsinfo">
    <w:name w:val="authors-info"/>
    <w:basedOn w:val="DefaultParagraphFont"/>
    <w:qFormat/>
    <w:rPr/>
  </w:style>
  <w:style w:type="character" w:styleId="Ngscope">
    <w:name w:val="ng-scope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NumberingSymbols">
    <w:name w:val="Numbering Symbols"/>
    <w:qFormat/>
    <w:rPr/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rpo">
    <w:name w:val="Corpo"/>
    <w:qFormat/>
    <w:pPr>
      <w:widowControl/>
      <w:overflowPunct w:val="false"/>
      <w:bidi w:val="0"/>
      <w:jc w:val="left"/>
    </w:pPr>
    <w:rPr>
      <w:rFonts w:ascii="Helvetica" w:hAnsi="Helvetica" w:eastAsia="Arial Unicode MS" w:cs="Arial Unicode MS"/>
      <w:color w:val="000000"/>
      <w:sz w:val="22"/>
      <w:szCs w:val="22"/>
      <w:lang w:val="pt-BR" w:eastAsia="pt-BR" w:bidi="ar-SA"/>
    </w:rPr>
  </w:style>
  <w:style w:type="paragraph" w:styleId="EstilodeTabela2">
    <w:name w:val="Estilo de Tabela 2"/>
    <w:qFormat/>
    <w:pPr>
      <w:widowControl/>
      <w:overflowPunct w:val="false"/>
      <w:bidi w:val="0"/>
      <w:jc w:val="left"/>
    </w:pPr>
    <w:rPr>
      <w:rFonts w:ascii="Helvetica" w:hAnsi="Helvetica" w:eastAsia="Arial Unicode MS" w:cs="Arial Unicode MS"/>
      <w:color w:val="000000"/>
      <w:sz w:val="24"/>
      <w:szCs w:val="20"/>
      <w:lang w:val="pt-BR" w:eastAsia="pt-BR" w:bidi="ar-SA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3091</TotalTime>
  <Application>LibreOffice/5.0.6.2$Linux_X86_64 LibreOffice_project/00$Build-2</Application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2017-05-27T21:44:00Z</dcterms:created>
  <dc:language>en-US</dc:language>
  <dcterms:modified xsi:type="dcterms:W3CDTF">2017-07-25T17:27:51Z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