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C2D" w:rsidRDefault="00B11F06">
      <w:r>
        <w:t>Collective action in action</w:t>
      </w:r>
    </w:p>
    <w:p w:rsidR="00B11F06" w:rsidRDefault="00B11F06"/>
    <w:p w:rsidR="00B11F06" w:rsidRDefault="00BE20DF">
      <w:r>
        <w:t>As discussed above, the principal-agent framework is not fit to analyze the issue of governance and corr</w:t>
      </w:r>
      <w:r w:rsidR="004C5329">
        <w:t>uption. On the contrary,</w:t>
      </w:r>
      <w:r>
        <w:t xml:space="preserve"> the benefit of corruptio</w:t>
      </w:r>
      <w:r w:rsidR="004C5329">
        <w:t>n is concentrated and immediate</w:t>
      </w:r>
      <w:r>
        <w:t xml:space="preserve"> while the cost is diffused across society</w:t>
      </w:r>
      <w:r w:rsidR="004C5329">
        <w:t>, leading to a classic collective action problem</w:t>
      </w:r>
      <w:r>
        <w:t>. Given the cynicism and mistrust that corruption breeds in a society, an individual may rationally ask himself why he should st</w:t>
      </w:r>
      <w:r w:rsidR="00BD0F77">
        <w:t>ay clean while his neighbors do</w:t>
      </w:r>
      <w:r>
        <w:t xml:space="preserve"> not. Why play b</w:t>
      </w:r>
      <w:r w:rsidR="00BD0F77">
        <w:t>y the rules when no one is? For this reason</w:t>
      </w:r>
      <w:r>
        <w:t>, even when the entire society detests corruption and when the majority of the government is honest</w:t>
      </w:r>
      <w:r w:rsidR="005348CE">
        <w:t xml:space="preserve"> men, the problem persists in a</w:t>
      </w:r>
      <w:r>
        <w:t xml:space="preserve"> wretched equilibrium. As a public good, fighting corruption will always suffer from free-riding and be in short supply.</w:t>
      </w:r>
    </w:p>
    <w:p w:rsidR="00BE20DF" w:rsidRDefault="00BE20DF"/>
    <w:p w:rsidR="00BE20DF" w:rsidRDefault="00BE20DF" w:rsidP="00AD5224">
      <w:r>
        <w:t>And yet</w:t>
      </w:r>
      <w:r w:rsidR="00184DBE">
        <w:t xml:space="preserve"> there is hope.</w:t>
      </w:r>
      <w:r>
        <w:t xml:space="preserve"> </w:t>
      </w:r>
      <w:r w:rsidR="00184DBE">
        <w:t>T</w:t>
      </w:r>
      <w:r>
        <w:t>he world is not consumed entirely by corruption—collective action problem does get solved. When talking about successful anti-corruption, we have often looked to the cases of Singapore and Hong Kong—yet these are highly idiosyncratic cases of small states and strong leadership, thus significantly reduce the difficulty of societal coordination. A better source for</w:t>
      </w:r>
      <w:r w:rsidR="00AD5224">
        <w:t xml:space="preserve"> lessons for nation-wide reform is the past success of today’s developed democracies. I</w:t>
      </w:r>
      <w:r>
        <w:t>n 17</w:t>
      </w:r>
      <w:r w:rsidRPr="008F6F86">
        <w:rPr>
          <w:vertAlign w:val="superscript"/>
        </w:rPr>
        <w:t>th</w:t>
      </w:r>
      <w:r w:rsidR="004C5329">
        <w:t xml:space="preserve"> century England, unprecedented reforms, leading to the</w:t>
      </w:r>
      <w:r>
        <w:t xml:space="preserve"> accountability of </w:t>
      </w:r>
      <w:r w:rsidR="002D6660">
        <w:t>th</w:t>
      </w:r>
      <w:r w:rsidR="00866468">
        <w:t>e King to the Parliament and the Electors</w:t>
      </w:r>
      <w:r w:rsidR="002D6660">
        <w:t>,</w:t>
      </w:r>
      <w:r>
        <w:t xml:space="preserve"> </w:t>
      </w:r>
      <w:r w:rsidR="00AD5224">
        <w:t>were</w:t>
      </w:r>
      <w:r>
        <w:t xml:space="preserve"> no</w:t>
      </w:r>
      <w:r w:rsidR="004C5329">
        <w:t>t good-willed proposals</w:t>
      </w:r>
      <w:r w:rsidR="002D6660">
        <w:t xml:space="preserve"> but political tools of the elites to protect their own interests</w:t>
      </w:r>
      <w:r w:rsidR="000F5206">
        <w:t>. Similarly, when</w:t>
      </w:r>
      <w:r w:rsidR="002D6660">
        <w:t xml:space="preserve"> </w:t>
      </w:r>
      <w:r w:rsidR="000F5206">
        <w:t>19</w:t>
      </w:r>
      <w:r w:rsidRPr="00CC76E0">
        <w:rPr>
          <w:vertAlign w:val="superscript"/>
        </w:rPr>
        <w:t>th</w:t>
      </w:r>
      <w:r>
        <w:t xml:space="preserve"> century </w:t>
      </w:r>
      <w:r w:rsidR="00AD5224">
        <w:t>American cities</w:t>
      </w:r>
      <w:r w:rsidR="000F5206">
        <w:t xml:space="preserve"> </w:t>
      </w:r>
      <w:r w:rsidR="00AD5224">
        <w:t>were</w:t>
      </w:r>
      <w:r w:rsidR="000F5206">
        <w:t xml:space="preserve"> captured by powerful machine boss,</w:t>
      </w:r>
      <w:r>
        <w:t xml:space="preserve"> </w:t>
      </w:r>
      <w:r w:rsidR="000F5206">
        <w:t>the anti-corruption zeal was fueled by</w:t>
      </w:r>
      <w:r w:rsidR="00866468">
        <w:t xml:space="preserve"> bitter political f</w:t>
      </w:r>
      <w:r w:rsidR="00AD5224">
        <w:t xml:space="preserve">ight between power holders: </w:t>
      </w:r>
      <w:r w:rsidR="00866468">
        <w:t>old</w:t>
      </w:r>
      <w:r w:rsidR="00D055DF">
        <w:t xml:space="preserve"> political bosse</w:t>
      </w:r>
      <w:r w:rsidR="00AD5224">
        <w:t>s and their immigrant voters versus</w:t>
      </w:r>
      <w:r w:rsidR="00D055DF">
        <w:t xml:space="preserve"> </w:t>
      </w:r>
      <w:r w:rsidR="00AD5224">
        <w:t xml:space="preserve">rising </w:t>
      </w:r>
      <w:r w:rsidR="00D055DF">
        <w:t>property owners</w:t>
      </w:r>
      <w:r>
        <w:t xml:space="preserve"> and businessmen, </w:t>
      </w:r>
      <w:r w:rsidR="00D055DF">
        <w:t xml:space="preserve">who </w:t>
      </w:r>
      <w:r w:rsidR="00866468">
        <w:t>became</w:t>
      </w:r>
      <w:r w:rsidR="00D055DF">
        <w:t xml:space="preserve"> disgruntled </w:t>
      </w:r>
      <w:r w:rsidR="00866468">
        <w:t>with</w:t>
      </w:r>
      <w:r w:rsidR="00D055DF">
        <w:t xml:space="preserve"> increasing graft</w:t>
      </w:r>
      <w:r>
        <w:t xml:space="preserve"> (Johnston</w:t>
      </w:r>
      <w:r w:rsidR="00BE6C79">
        <w:t>, anti-</w:t>
      </w:r>
      <w:r w:rsidR="00D055DF">
        <w:t>corruption in transitioning societies</w:t>
      </w:r>
      <w:r w:rsidR="00AD5224">
        <w:t>).</w:t>
      </w:r>
    </w:p>
    <w:p w:rsidR="00184DBE" w:rsidRDefault="00184DBE" w:rsidP="00BE20DF"/>
    <w:p w:rsidR="00BE20DF" w:rsidRDefault="00AD5224" w:rsidP="00BE20DF">
      <w:r>
        <w:t>All of these cases show</w:t>
      </w:r>
      <w:r w:rsidR="00BE20DF">
        <w:t xml:space="preserve"> that reform does not materialize because it is good for the public, but because it is good for a coh</w:t>
      </w:r>
      <w:r>
        <w:t>esive group with strong enough</w:t>
      </w:r>
      <w:r w:rsidR="00BE20DF">
        <w:t xml:space="preserve"> political power</w:t>
      </w:r>
      <w:r>
        <w:t>. When</w:t>
      </w:r>
      <w:r w:rsidR="002D6660">
        <w:t xml:space="preserve"> the conditions exist for the emergence of such group</w:t>
      </w:r>
      <w:r w:rsidR="00495C6E">
        <w:t>(s)</w:t>
      </w:r>
      <w:r w:rsidR="002D6660">
        <w:t>, there is a chance for reform to sustain and succeed.</w:t>
      </w:r>
      <w:r>
        <w:t xml:space="preserve"> </w:t>
      </w:r>
      <w:r w:rsidR="00A5292D">
        <w:t>It is imperative to emphasize that</w:t>
      </w:r>
      <w:r>
        <w:t xml:space="preserve"> it takes decades for this kind of tectonic demographic shift to happen</w:t>
      </w:r>
      <w:r w:rsidR="00A5292D">
        <w:t>—the America civil service went from 10% to 80% meritocratic in 40 years, its cities alternated between machine boss and legitimate parties throughout the first part of 20</w:t>
      </w:r>
      <w:r w:rsidR="00A5292D" w:rsidRPr="00A5292D">
        <w:rPr>
          <w:vertAlign w:val="superscript"/>
        </w:rPr>
        <w:t>th</w:t>
      </w:r>
      <w:r w:rsidR="00A5292D">
        <w:t xml:space="preserve"> century.</w:t>
      </w:r>
    </w:p>
    <w:p w:rsidR="00184DBE" w:rsidRDefault="00184DBE"/>
    <w:p w:rsidR="00184DBE" w:rsidRDefault="00F6569A">
      <w:r>
        <w:t>Do we find the same narrative of reform in Asia today</w:t>
      </w:r>
      <w:r w:rsidR="00495C6E">
        <w:t>? The tale of two countries, Indonesia and Vietnam, illuminates how the existence of political support for reform is the fundamental prerequisite.</w:t>
      </w:r>
    </w:p>
    <w:p w:rsidR="00184DBE" w:rsidRDefault="00184DBE"/>
    <w:p w:rsidR="00866468" w:rsidRDefault="00866468">
      <w:r>
        <w:t>Indonesia’s success</w:t>
      </w:r>
    </w:p>
    <w:p w:rsidR="00866468" w:rsidRDefault="00866468"/>
    <w:p w:rsidR="00184DBE" w:rsidRDefault="00184DBE" w:rsidP="00184DBE">
      <w:r>
        <w:t>After the fall of President Suharto in 1998, Indonesia underwent major reforms in all aspects of state institutions, including basic political foundation such as</w:t>
      </w:r>
      <w:r w:rsidR="00CC5BB5">
        <w:t xml:space="preserve"> the electoral</w:t>
      </w:r>
      <w:r>
        <w:t xml:space="preserve"> system</w:t>
      </w:r>
      <w:r w:rsidR="00CC5BB5">
        <w:t xml:space="preserve"> and an independent judiciary, as well as </w:t>
      </w:r>
      <w:r>
        <w:t>bu</w:t>
      </w:r>
      <w:r w:rsidR="00CC5BB5">
        <w:t>reaucratic reform such as a consultative budget process and tight fiscal rules</w:t>
      </w:r>
      <w:r>
        <w:t xml:space="preserve"> (Indonesia’s story)</w:t>
      </w:r>
      <w:r w:rsidR="00CC5BB5">
        <w:t>.</w:t>
      </w:r>
    </w:p>
    <w:p w:rsidR="00CC5BB5" w:rsidRDefault="00CC5BB5" w:rsidP="00184DBE"/>
    <w:p w:rsidR="00184DBE" w:rsidRDefault="00CC5BB5" w:rsidP="00184DBE">
      <w:r>
        <w:t>But nothing exemplifies the reform success as the near 100% conviction rate of the</w:t>
      </w:r>
      <w:r w:rsidR="00184DBE">
        <w:t xml:space="preserve"> </w:t>
      </w:r>
      <w:r>
        <w:t>newly created</w:t>
      </w:r>
      <w:r w:rsidR="00184DBE">
        <w:t xml:space="preserve"> Corruption Eradication Commission (KPK). </w:t>
      </w:r>
      <w:r w:rsidR="00F6569A">
        <w:t xml:space="preserve">The Commission accomplished this statistic </w:t>
      </w:r>
      <w:r w:rsidR="00F6569A">
        <w:lastRenderedPageBreak/>
        <w:t>not by going after only small fish</w:t>
      </w:r>
      <w:r>
        <w:t xml:space="preserve">—on the contrary, </w:t>
      </w:r>
      <w:r w:rsidR="00184DBE">
        <w:t>the KPK has successfully prosecuted senior parliamentarians, bureaucrats, police officials, and business people.</w:t>
      </w:r>
    </w:p>
    <w:p w:rsidR="00CC5BB5" w:rsidRDefault="00CC5BB5" w:rsidP="00184DBE"/>
    <w:p w:rsidR="009E1AD3" w:rsidRDefault="00184DBE" w:rsidP="009E1AD3">
      <w:r>
        <w:t xml:space="preserve">It must be noted that </w:t>
      </w:r>
      <w:r w:rsidR="00CC5BB5">
        <w:t>these reform measures succeeded thanks to the convergence of</w:t>
      </w:r>
      <w:r w:rsidR="009E1AD3">
        <w:t xml:space="preserve"> various factors that leads to </w:t>
      </w:r>
      <w:r w:rsidR="00F6569A">
        <w:t xml:space="preserve">a </w:t>
      </w:r>
      <w:r w:rsidR="009E1AD3">
        <w:t>strong</w:t>
      </w:r>
      <w:r>
        <w:t xml:space="preserve"> political will. First, </w:t>
      </w:r>
      <w:r w:rsidR="00F6569A">
        <w:t xml:space="preserve">even </w:t>
      </w:r>
      <w:r>
        <w:t>during Suharto’s rule, a thick network of civil society was allowed to</w:t>
      </w:r>
      <w:r w:rsidR="009E1AD3">
        <w:t xml:space="preserve"> exist</w:t>
      </w:r>
      <w:r>
        <w:t xml:space="preserve">. </w:t>
      </w:r>
      <w:r w:rsidR="00F6569A">
        <w:t>Therefore, a</w:t>
      </w:r>
      <w:r>
        <w:t xml:space="preserve">t the start of reform, there </w:t>
      </w:r>
      <w:r w:rsidR="00F6569A">
        <w:t>were</w:t>
      </w:r>
      <w:r>
        <w:t xml:space="preserve"> already more than 11,100 functioning civil societies, including two largest mass-based Muslim organizations in the world. These organizations </w:t>
      </w:r>
      <w:r w:rsidR="00F6569A">
        <w:t>had</w:t>
      </w:r>
      <w:r>
        <w:t xml:space="preserve"> had years of successful operations, which </w:t>
      </w:r>
      <w:r w:rsidR="00F6569A">
        <w:t>was</w:t>
      </w:r>
      <w:r>
        <w:t xml:space="preserve"> cr</w:t>
      </w:r>
      <w:r w:rsidR="009E1AD3">
        <w:t>ucial to facilitating</w:t>
      </w:r>
      <w:r>
        <w:t xml:space="preserve"> trust and coordination among peopl</w:t>
      </w:r>
      <w:r w:rsidR="009E1AD3">
        <w:t>e. Second, Indonesian reformers</w:t>
      </w:r>
      <w:r>
        <w:t xml:space="preserve"> pursue</w:t>
      </w:r>
      <w:r w:rsidR="009E1AD3">
        <w:t>d</w:t>
      </w:r>
      <w:r>
        <w:t xml:space="preserve"> </w:t>
      </w:r>
      <w:r w:rsidR="009E1AD3">
        <w:t>“</w:t>
      </w:r>
      <w:r>
        <w:t>accommodative reform,</w:t>
      </w:r>
      <w:r w:rsidR="009E1AD3">
        <w:t xml:space="preserve">” i.e. enticing old powers to join rank by giving them a share in the new pie. </w:t>
      </w:r>
      <w:r>
        <w:t>For example,</w:t>
      </w:r>
      <w:r w:rsidR="009E1AD3">
        <w:t xml:space="preserve"> while</w:t>
      </w:r>
      <w:r>
        <w:t xml:space="preserve"> </w:t>
      </w:r>
      <w:r w:rsidR="009E1AD3">
        <w:t>new parties are facilitated,</w:t>
      </w:r>
      <w:r>
        <w:t xml:space="preserve"> the old party of Suharto </w:t>
      </w:r>
      <w:r w:rsidR="009E1AD3">
        <w:t>was</w:t>
      </w:r>
      <w:r>
        <w:t xml:space="preserve"> not abolished. </w:t>
      </w:r>
      <w:r w:rsidR="00F6569A">
        <w:t>The decentralization effort did</w:t>
      </w:r>
      <w:r>
        <w:t xml:space="preserve"> empower</w:t>
      </w:r>
      <w:r w:rsidR="009E1AD3">
        <w:t xml:space="preserve"> the lo</w:t>
      </w:r>
      <w:r w:rsidR="00F6569A">
        <w:t>cal governments, but also offered</w:t>
      </w:r>
      <w:r w:rsidR="009E1AD3">
        <w:t xml:space="preserve"> rent-seeking opportunities for local elites</w:t>
      </w:r>
      <w:r>
        <w:t>.</w:t>
      </w:r>
      <w:r w:rsidR="009E1AD3">
        <w:t xml:space="preserve"> These </w:t>
      </w:r>
      <w:r w:rsidR="00A50D0B">
        <w:t>were</w:t>
      </w:r>
      <w:r w:rsidR="009E1AD3">
        <w:t xml:space="preserve"> not first-best reforms, </w:t>
      </w:r>
      <w:r w:rsidR="001E1178">
        <w:t>but without the</w:t>
      </w:r>
      <w:r w:rsidR="00A50D0B">
        <w:t xml:space="preserve"> compromise any reform wouldn’t have</w:t>
      </w:r>
      <w:r w:rsidR="001E1178">
        <w:t xml:space="preserve"> be</w:t>
      </w:r>
      <w:r w:rsidR="00A50D0B">
        <w:t>en</w:t>
      </w:r>
      <w:r w:rsidR="001E1178">
        <w:t xml:space="preserve"> possible at all.</w:t>
      </w:r>
    </w:p>
    <w:p w:rsidR="00184DBE" w:rsidRDefault="00184DBE" w:rsidP="009E1AD3"/>
    <w:p w:rsidR="00184DBE" w:rsidRDefault="00184DBE" w:rsidP="00550E2A">
      <w:r>
        <w:t>Despite these succes</w:t>
      </w:r>
      <w:r w:rsidR="001E1178">
        <w:t>ses, the KPK has been</w:t>
      </w:r>
      <w:r>
        <w:t xml:space="preserve"> surrounded</w:t>
      </w:r>
      <w:r w:rsidR="001E1178">
        <w:t xml:space="preserve"> by ugly political battles</w:t>
      </w:r>
      <w:r>
        <w:t>, reminding us that anti-corruption encroaches upon the interests of pow</w:t>
      </w:r>
      <w:r w:rsidR="001E1178">
        <w:t>erful groups that</w:t>
      </w:r>
      <w:r>
        <w:t xml:space="preserve"> are determined to maintain their stranglehold. </w:t>
      </w:r>
      <w:r w:rsidR="001E1178">
        <w:t>In 2009, the KPK and the traditional police department attacked each other, leading to a series</w:t>
      </w:r>
      <w:r w:rsidR="00550E2A">
        <w:t xml:space="preserve"> of arrests against KPK leaders and</w:t>
      </w:r>
      <w:r w:rsidR="001E1178">
        <w:t xml:space="preserve"> releases of wiretap evidence against the Chief Detective.</w:t>
      </w:r>
      <w:r w:rsidR="00550E2A">
        <w:t xml:space="preserve"> </w:t>
      </w:r>
      <w:r>
        <w:t>The KPK also faced great challenge from the Parliamen</w:t>
      </w:r>
      <w:r w:rsidR="00550E2A">
        <w:t>t,</w:t>
      </w:r>
      <w:r>
        <w:t xml:space="preserve"> </w:t>
      </w:r>
      <w:r w:rsidR="00550E2A">
        <w:t>which</w:t>
      </w:r>
      <w:r w:rsidR="000D308D">
        <w:t>, in 2009,</w:t>
      </w:r>
      <w:r w:rsidR="00550E2A">
        <w:t xml:space="preserve"> tried to </w:t>
      </w:r>
      <w:r>
        <w:t>re</w:t>
      </w:r>
      <w:r w:rsidR="00550E2A">
        <w:t>strict the wiretap ability of the</w:t>
      </w:r>
      <w:r w:rsidR="00A50D0B">
        <w:t xml:space="preserve"> KPK and replace</w:t>
      </w:r>
      <w:r>
        <w:t xml:space="preserve"> the national corruption </w:t>
      </w:r>
      <w:r w:rsidR="00550E2A">
        <w:t>court with provincial</w:t>
      </w:r>
      <w:r>
        <w:t xml:space="preserve"> court</w:t>
      </w:r>
      <w:r w:rsidR="000D308D">
        <w:t>s,</w:t>
      </w:r>
      <w:r w:rsidR="00D61F80">
        <w:t xml:space="preserve"> </w:t>
      </w:r>
      <w:r w:rsidR="000D308D">
        <w:t>and i</w:t>
      </w:r>
      <w:r w:rsidR="00D61F80">
        <w:t xml:space="preserve">n 2011, </w:t>
      </w:r>
      <w:r w:rsidR="000D308D">
        <w:t>attempted to reduce the amount of jail time for graft offenders</w:t>
      </w:r>
      <w:r w:rsidR="00D61F80">
        <w:t>.</w:t>
      </w:r>
      <w:r w:rsidR="00D61F80">
        <w:rPr>
          <w:rStyle w:val="FootnoteReference"/>
        </w:rPr>
        <w:footnoteReference w:id="1"/>
      </w:r>
    </w:p>
    <w:p w:rsidR="001E1178" w:rsidRDefault="001E1178" w:rsidP="00184DBE"/>
    <w:p w:rsidR="00184DBE" w:rsidRDefault="00184DBE" w:rsidP="00184DBE">
      <w:r>
        <w:t>Throu</w:t>
      </w:r>
      <w:r w:rsidR="00F75626">
        <w:t>ghout the saga, it wa</w:t>
      </w:r>
      <w:r w:rsidR="0094180D">
        <w:t>s</w:t>
      </w:r>
      <w:r>
        <w:t xml:space="preserve"> the Indonesian people </w:t>
      </w:r>
      <w:r w:rsidR="000D308D">
        <w:t xml:space="preserve">who </w:t>
      </w:r>
      <w:r>
        <w:t>play</w:t>
      </w:r>
      <w:r w:rsidR="0094180D">
        <w:t>ed</w:t>
      </w:r>
      <w:r>
        <w:t xml:space="preserve"> a crucial role in protecting the effe</w:t>
      </w:r>
      <w:r w:rsidR="0094180D">
        <w:t>ctiveness of</w:t>
      </w:r>
      <w:r>
        <w:t xml:space="preserve"> reform. </w:t>
      </w:r>
      <w:r w:rsidR="0094180D">
        <w:t>During the</w:t>
      </w:r>
      <w:r w:rsidR="000D308D">
        <w:t xml:space="preserve"> 2009</w:t>
      </w:r>
      <w:r w:rsidR="0094180D">
        <w:t xml:space="preserve"> fight between the KPK and the police department, mass protests in urban centers and virtual domains (1 million online petitions were registered) led to the release of two leading KPK investigators</w:t>
      </w:r>
      <w:r w:rsidR="000D308D">
        <w:t>. Even more admirably, the political will has maintained its strong current until today. In 2012, a</w:t>
      </w:r>
      <w:r w:rsidR="00D61F80">
        <w:t>s the Parliament repeatedly stymied the KPK’s request for funding, millions of ordinary Indonesians pledged to donate their little money to the agency.</w:t>
      </w:r>
      <w:r w:rsidR="00D61F80">
        <w:rPr>
          <w:rStyle w:val="FootnoteReference"/>
        </w:rPr>
        <w:footnoteReference w:id="2"/>
      </w:r>
      <w:r w:rsidR="000D308D">
        <w:t xml:space="preserve"> A campaign that urged President Yudhoyono to support the KPK in its investigation of the multibillion rupiah also potentially reached more than 9.4 million internet users.</w:t>
      </w:r>
      <w:r w:rsidR="000D308D">
        <w:rPr>
          <w:rStyle w:val="FootnoteReference"/>
        </w:rPr>
        <w:footnoteReference w:id="3"/>
      </w:r>
    </w:p>
    <w:p w:rsidR="0094180D" w:rsidRDefault="0094180D" w:rsidP="00184DBE"/>
    <w:p w:rsidR="00184DBE" w:rsidRDefault="00184DBE" w:rsidP="00184DBE">
      <w:r>
        <w:t>Case of</w:t>
      </w:r>
      <w:r w:rsidR="00495C6E">
        <w:t xml:space="preserve"> Vietnam</w:t>
      </w:r>
    </w:p>
    <w:p w:rsidR="00495C6E" w:rsidRDefault="00495C6E" w:rsidP="00184DBE"/>
    <w:p w:rsidR="00344A30" w:rsidRDefault="00210D63" w:rsidP="00184DBE">
      <w:r>
        <w:t>Prompted by a 1997</w:t>
      </w:r>
      <w:r w:rsidR="00344A30">
        <w:t xml:space="preserve"> rural unrest in Thai Binh against misuse of infrastructure f</w:t>
      </w:r>
      <w:r>
        <w:t xml:space="preserve">und, </w:t>
      </w:r>
      <w:r w:rsidR="00344A30">
        <w:t xml:space="preserve">Vietnam </w:t>
      </w:r>
      <w:r w:rsidR="00184DBE">
        <w:t>implemented its own “grassroots democratization” as an anti-corruption initiative</w:t>
      </w:r>
      <w:r w:rsidR="00F75626">
        <w:t>, epitomizing the demand-side</w:t>
      </w:r>
      <w:r w:rsidR="00344A30">
        <w:t xml:space="preserve"> approach to governance sans the vocabulary.</w:t>
      </w:r>
      <w:r w:rsidR="00184DBE">
        <w:t xml:space="preserve"> </w:t>
      </w:r>
      <w:r w:rsidR="00344A30">
        <w:t xml:space="preserve">The </w:t>
      </w:r>
      <w:r>
        <w:t xml:space="preserve">policy includes three </w:t>
      </w:r>
      <w:r w:rsidR="00344A30">
        <w:t>prongs</w:t>
      </w:r>
      <w:r>
        <w:t xml:space="preserve"> of approach</w:t>
      </w:r>
      <w:r w:rsidR="00184DBE">
        <w:t>: greater transparency</w:t>
      </w:r>
      <w:r w:rsidR="00344A30">
        <w:t xml:space="preserve"> (i.e. publishing</w:t>
      </w:r>
      <w:r w:rsidR="00184DBE">
        <w:t xml:space="preserve"> local budget allocations</w:t>
      </w:r>
      <w:r w:rsidR="00344A30">
        <w:t>), greater participation (i.e. incorporating citizens’ input in budget planning)</w:t>
      </w:r>
      <w:r w:rsidR="00184DBE">
        <w:t xml:space="preserve">, </w:t>
      </w:r>
      <w:r w:rsidR="00344A30">
        <w:t>and</w:t>
      </w:r>
      <w:r>
        <w:t xml:space="preserve"> greater monitoring</w:t>
      </w:r>
      <w:r w:rsidR="00184DBE">
        <w:t xml:space="preserve"> </w:t>
      </w:r>
      <w:r w:rsidR="00344A30">
        <w:t>(i.e. allowing citizens to file com</w:t>
      </w:r>
      <w:r w:rsidR="00F75626">
        <w:t>plaints against local officials</w:t>
      </w:r>
      <w:r w:rsidR="00344A30">
        <w:t>)</w:t>
      </w:r>
      <w:r w:rsidR="00F75626">
        <w:t xml:space="preserve">. </w:t>
      </w:r>
    </w:p>
    <w:p w:rsidR="00184DBE" w:rsidRDefault="00210D63" w:rsidP="00184DBE">
      <w:r>
        <w:lastRenderedPageBreak/>
        <w:t xml:space="preserve">However, this implementation of this initiative fell flat with little participation from the citizens. </w:t>
      </w:r>
      <w:r w:rsidR="00184DBE">
        <w:t>Vietnam</w:t>
      </w:r>
      <w:r>
        <w:t>’s political landscape is marked by the</w:t>
      </w:r>
      <w:r w:rsidR="00184DBE">
        <w:t xml:space="preserve"> dominance of </w:t>
      </w:r>
      <w:r>
        <w:t>executive power over</w:t>
      </w:r>
      <w:r w:rsidR="00184DBE">
        <w:t xml:space="preserve"> the legislative and the judicial branch, </w:t>
      </w:r>
      <w:r>
        <w:t>leading to reasonable doubt about the possibility of sanctioning</w:t>
      </w:r>
      <w:r w:rsidR="00184DBE">
        <w:t xml:space="preserve"> administrators based on their failure to deliver pu</w:t>
      </w:r>
      <w:r>
        <w:t>bl</w:t>
      </w:r>
      <w:r w:rsidR="00F75626">
        <w:t>ic services</w:t>
      </w:r>
      <w:r>
        <w:t>.</w:t>
      </w:r>
      <w:r w:rsidR="00184DBE">
        <w:t xml:space="preserve"> </w:t>
      </w:r>
      <w:r>
        <w:t xml:space="preserve">Furthermore, under the shadow of a strong state, </w:t>
      </w:r>
      <w:r w:rsidR="00F75626">
        <w:t xml:space="preserve">Vietnam’s civil society is </w:t>
      </w:r>
      <w:r>
        <w:t>very weak, with the majority of popular organizations coopted under the banner of the state-funded Vietnam Father Front</w:t>
      </w:r>
      <w:r w:rsidR="00184DBE">
        <w:t xml:space="preserve"> (Misery, 18).</w:t>
      </w:r>
      <w:r>
        <w:t xml:space="preserve"> </w:t>
      </w:r>
      <w:r w:rsidR="000F7137">
        <w:t>The resulting apathy is hardly surprising—interview with local people show that, despite the greater opportunities to exercise their democratic rights, the villagers were only concerns if their personal livelihood wa</w:t>
      </w:r>
      <w:r w:rsidR="00F75626">
        <w:t>s jeopardized.</w:t>
      </w:r>
      <w:bookmarkStart w:id="0" w:name="_GoBack"/>
      <w:bookmarkEnd w:id="0"/>
      <w:r w:rsidR="000F7137">
        <w:t xml:space="preserve"> Many commented that they did nothing with regards to corruption because nothing would change old ways.</w:t>
      </w:r>
      <w:r w:rsidR="000F7137">
        <w:rPr>
          <w:rStyle w:val="FootnoteReference"/>
        </w:rPr>
        <w:footnoteReference w:id="4"/>
      </w:r>
    </w:p>
    <w:p w:rsidR="000F7137" w:rsidRDefault="000F7137" w:rsidP="00184DBE"/>
    <w:sectPr w:rsidR="000F71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8AC" w:rsidRDefault="004838AC" w:rsidP="00D61F80">
      <w:pPr>
        <w:spacing w:after="0"/>
      </w:pPr>
      <w:r>
        <w:separator/>
      </w:r>
    </w:p>
  </w:endnote>
  <w:endnote w:type="continuationSeparator" w:id="0">
    <w:p w:rsidR="004838AC" w:rsidRDefault="004838AC" w:rsidP="00D61F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8AC" w:rsidRDefault="004838AC" w:rsidP="00D61F80">
      <w:pPr>
        <w:spacing w:after="0"/>
      </w:pPr>
      <w:r>
        <w:separator/>
      </w:r>
    </w:p>
  </w:footnote>
  <w:footnote w:type="continuationSeparator" w:id="0">
    <w:p w:rsidR="004838AC" w:rsidRDefault="004838AC" w:rsidP="00D61F80">
      <w:pPr>
        <w:spacing w:after="0"/>
      </w:pPr>
      <w:r>
        <w:continuationSeparator/>
      </w:r>
    </w:p>
  </w:footnote>
  <w:footnote w:id="1">
    <w:p w:rsidR="00D21CAE" w:rsidRDefault="00D21CAE">
      <w:pPr>
        <w:pStyle w:val="FootnoteText"/>
      </w:pPr>
      <w:r>
        <w:rPr>
          <w:rStyle w:val="FootnoteReference"/>
        </w:rPr>
        <w:footnoteRef/>
      </w:r>
      <w:r>
        <w:t xml:space="preserve"> </w:t>
      </w:r>
      <w:hyperlink r:id="rId1" w:history="1">
        <w:r>
          <w:rPr>
            <w:rStyle w:val="Hyperlink"/>
          </w:rPr>
          <w:t>http://blog.transparency.org/2011/07/22/indonesian-ngos-protest-an-unnecessary-revision-of-anti-corruption-laws/</w:t>
        </w:r>
      </w:hyperlink>
    </w:p>
  </w:footnote>
  <w:footnote w:id="2">
    <w:p w:rsidR="00D21CAE" w:rsidRDefault="00D21CAE">
      <w:pPr>
        <w:pStyle w:val="FootnoteText"/>
      </w:pPr>
      <w:r>
        <w:rPr>
          <w:rStyle w:val="FootnoteReference"/>
        </w:rPr>
        <w:footnoteRef/>
      </w:r>
      <w:r>
        <w:t xml:space="preserve"> </w:t>
      </w:r>
      <w:hyperlink r:id="rId2" w:history="1">
        <w:r>
          <w:rPr>
            <w:rStyle w:val="Hyperlink"/>
          </w:rPr>
          <w:t>http://www.nst.com.my/opinion/columnist/coin-by-coin-ordinary-indonesians-help-fight-graft-1.99940</w:t>
        </w:r>
      </w:hyperlink>
    </w:p>
  </w:footnote>
  <w:footnote w:id="3">
    <w:p w:rsidR="00D21CAE" w:rsidRDefault="00D21CAE">
      <w:pPr>
        <w:pStyle w:val="FootnoteText"/>
      </w:pPr>
      <w:r>
        <w:rPr>
          <w:rStyle w:val="FootnoteReference"/>
        </w:rPr>
        <w:footnoteRef/>
      </w:r>
      <w:r>
        <w:t xml:space="preserve"> </w:t>
      </w:r>
      <w:hyperlink r:id="rId3" w:history="1">
        <w:r>
          <w:rPr>
            <w:rStyle w:val="Hyperlink"/>
          </w:rPr>
          <w:t>http://www.thejakartapost.com/news/2012/11/30/taking-it-internet-people-power-20.html</w:t>
        </w:r>
      </w:hyperlink>
    </w:p>
  </w:footnote>
  <w:footnote w:id="4">
    <w:p w:rsidR="00D21CAE" w:rsidRDefault="00D21CAE">
      <w:pPr>
        <w:pStyle w:val="FootnoteText"/>
      </w:pPr>
      <w:r>
        <w:rPr>
          <w:rStyle w:val="FootnoteReference"/>
        </w:rPr>
        <w:footnoteRef/>
      </w:r>
      <w:r>
        <w:t xml:space="preserve"> </w:t>
      </w:r>
      <w:hyperlink r:id="rId4" w:history="1">
        <w:r>
          <w:rPr>
            <w:rStyle w:val="Hyperlink"/>
          </w:rPr>
          <w:t>https://www.cdi.anu.edu.au/CDIwebsite_1998-2004/vietnam/veitnam_downloads/Doung_Grassrootsdemocracypaper.pdf</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565F3"/>
    <w:multiLevelType w:val="hybridMultilevel"/>
    <w:tmpl w:val="B7D2ACB8"/>
    <w:lvl w:ilvl="0" w:tplc="B1D6D81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1E4149F7"/>
    <w:multiLevelType w:val="hybridMultilevel"/>
    <w:tmpl w:val="09C07AC0"/>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31DA3F71"/>
    <w:multiLevelType w:val="hybridMultilevel"/>
    <w:tmpl w:val="B2F4ABF2"/>
    <w:lvl w:ilvl="0" w:tplc="2D0467E8">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37F72EAE"/>
    <w:multiLevelType w:val="hybridMultilevel"/>
    <w:tmpl w:val="80E2DD5C"/>
    <w:lvl w:ilvl="0" w:tplc="8D824F9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nsid w:val="66842438"/>
    <w:multiLevelType w:val="hybridMultilevel"/>
    <w:tmpl w:val="CDDE7B3E"/>
    <w:lvl w:ilvl="0" w:tplc="DD14D2F0">
      <w:start w:val="1"/>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nsid w:val="6BB2668B"/>
    <w:multiLevelType w:val="hybridMultilevel"/>
    <w:tmpl w:val="DEFE77FC"/>
    <w:lvl w:ilvl="0" w:tplc="7EA02B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F06"/>
    <w:rsid w:val="00023708"/>
    <w:rsid w:val="00025B9D"/>
    <w:rsid w:val="000D308D"/>
    <w:rsid w:val="000F5206"/>
    <w:rsid w:val="000F7137"/>
    <w:rsid w:val="001336E4"/>
    <w:rsid w:val="00184DBE"/>
    <w:rsid w:val="001E1178"/>
    <w:rsid w:val="00210D63"/>
    <w:rsid w:val="002D6660"/>
    <w:rsid w:val="00344A30"/>
    <w:rsid w:val="003D6E10"/>
    <w:rsid w:val="003E614C"/>
    <w:rsid w:val="003F32DE"/>
    <w:rsid w:val="004838AC"/>
    <w:rsid w:val="00495C6E"/>
    <w:rsid w:val="004C5329"/>
    <w:rsid w:val="005348CE"/>
    <w:rsid w:val="00550E2A"/>
    <w:rsid w:val="00586339"/>
    <w:rsid w:val="00586AD6"/>
    <w:rsid w:val="00590261"/>
    <w:rsid w:val="005E4676"/>
    <w:rsid w:val="006249E9"/>
    <w:rsid w:val="00695A21"/>
    <w:rsid w:val="00724C2D"/>
    <w:rsid w:val="007B79DD"/>
    <w:rsid w:val="007E73AB"/>
    <w:rsid w:val="00851C73"/>
    <w:rsid w:val="00866468"/>
    <w:rsid w:val="009279E6"/>
    <w:rsid w:val="0094180D"/>
    <w:rsid w:val="0095383D"/>
    <w:rsid w:val="00963F59"/>
    <w:rsid w:val="009E1AD3"/>
    <w:rsid w:val="00A208AA"/>
    <w:rsid w:val="00A50D0B"/>
    <w:rsid w:val="00A5292D"/>
    <w:rsid w:val="00A66644"/>
    <w:rsid w:val="00AD5224"/>
    <w:rsid w:val="00B11D98"/>
    <w:rsid w:val="00B11F06"/>
    <w:rsid w:val="00BA1062"/>
    <w:rsid w:val="00BC3A94"/>
    <w:rsid w:val="00BD0F77"/>
    <w:rsid w:val="00BE20DF"/>
    <w:rsid w:val="00BE6C79"/>
    <w:rsid w:val="00C25273"/>
    <w:rsid w:val="00C97F17"/>
    <w:rsid w:val="00CA2387"/>
    <w:rsid w:val="00CC5BB5"/>
    <w:rsid w:val="00D055DF"/>
    <w:rsid w:val="00D21CAE"/>
    <w:rsid w:val="00D61F80"/>
    <w:rsid w:val="00DA2D1F"/>
    <w:rsid w:val="00E13ACF"/>
    <w:rsid w:val="00F543A7"/>
    <w:rsid w:val="00F6569A"/>
    <w:rsid w:val="00F75626"/>
    <w:rsid w:val="00FC47EA"/>
    <w:rsid w:val="00FC601A"/>
    <w:rsid w:val="00FF6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3AB"/>
    <w:pPr>
      <w:spacing w:line="240" w:lineRule="auto"/>
      <w:ind w:firstLine="432"/>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61F80"/>
    <w:pPr>
      <w:spacing w:after="0"/>
    </w:pPr>
    <w:rPr>
      <w:sz w:val="20"/>
      <w:szCs w:val="20"/>
    </w:rPr>
  </w:style>
  <w:style w:type="character" w:customStyle="1" w:styleId="FootnoteTextChar">
    <w:name w:val="Footnote Text Char"/>
    <w:basedOn w:val="DefaultParagraphFont"/>
    <w:link w:val="FootnoteText"/>
    <w:uiPriority w:val="99"/>
    <w:semiHidden/>
    <w:rsid w:val="00D61F80"/>
    <w:rPr>
      <w:sz w:val="20"/>
      <w:szCs w:val="20"/>
    </w:rPr>
  </w:style>
  <w:style w:type="character" w:styleId="FootnoteReference">
    <w:name w:val="footnote reference"/>
    <w:basedOn w:val="DefaultParagraphFont"/>
    <w:uiPriority w:val="99"/>
    <w:semiHidden/>
    <w:unhideWhenUsed/>
    <w:rsid w:val="00D61F80"/>
    <w:rPr>
      <w:vertAlign w:val="superscript"/>
    </w:rPr>
  </w:style>
  <w:style w:type="character" w:styleId="Hyperlink">
    <w:name w:val="Hyperlink"/>
    <w:basedOn w:val="DefaultParagraphFont"/>
    <w:uiPriority w:val="99"/>
    <w:semiHidden/>
    <w:unhideWhenUsed/>
    <w:rsid w:val="00D61F80"/>
    <w:rPr>
      <w:color w:val="0000FF"/>
      <w:u w:val="single"/>
    </w:rPr>
  </w:style>
  <w:style w:type="paragraph" w:styleId="ListParagraph">
    <w:name w:val="List Paragraph"/>
    <w:basedOn w:val="Normal"/>
    <w:uiPriority w:val="34"/>
    <w:qFormat/>
    <w:rsid w:val="00586339"/>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3AB"/>
    <w:pPr>
      <w:spacing w:line="240" w:lineRule="auto"/>
      <w:ind w:firstLine="432"/>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61F80"/>
    <w:pPr>
      <w:spacing w:after="0"/>
    </w:pPr>
    <w:rPr>
      <w:sz w:val="20"/>
      <w:szCs w:val="20"/>
    </w:rPr>
  </w:style>
  <w:style w:type="character" w:customStyle="1" w:styleId="FootnoteTextChar">
    <w:name w:val="Footnote Text Char"/>
    <w:basedOn w:val="DefaultParagraphFont"/>
    <w:link w:val="FootnoteText"/>
    <w:uiPriority w:val="99"/>
    <w:semiHidden/>
    <w:rsid w:val="00D61F80"/>
    <w:rPr>
      <w:sz w:val="20"/>
      <w:szCs w:val="20"/>
    </w:rPr>
  </w:style>
  <w:style w:type="character" w:styleId="FootnoteReference">
    <w:name w:val="footnote reference"/>
    <w:basedOn w:val="DefaultParagraphFont"/>
    <w:uiPriority w:val="99"/>
    <w:semiHidden/>
    <w:unhideWhenUsed/>
    <w:rsid w:val="00D61F80"/>
    <w:rPr>
      <w:vertAlign w:val="superscript"/>
    </w:rPr>
  </w:style>
  <w:style w:type="character" w:styleId="Hyperlink">
    <w:name w:val="Hyperlink"/>
    <w:basedOn w:val="DefaultParagraphFont"/>
    <w:uiPriority w:val="99"/>
    <w:semiHidden/>
    <w:unhideWhenUsed/>
    <w:rsid w:val="00D61F80"/>
    <w:rPr>
      <w:color w:val="0000FF"/>
      <w:u w:val="single"/>
    </w:rPr>
  </w:style>
  <w:style w:type="paragraph" w:styleId="ListParagraph">
    <w:name w:val="List Paragraph"/>
    <w:basedOn w:val="Normal"/>
    <w:uiPriority w:val="34"/>
    <w:qFormat/>
    <w:rsid w:val="0058633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61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thejakartapost.com/news/2012/11/30/taking-it-internet-people-power-20.html" TargetMode="External"/><Relationship Id="rId2" Type="http://schemas.openxmlformats.org/officeDocument/2006/relationships/hyperlink" Target="http://www.nst.com.my/opinion/columnist/coin-by-coin-ordinary-indonesians-help-fight-graft-1.99940" TargetMode="External"/><Relationship Id="rId1" Type="http://schemas.openxmlformats.org/officeDocument/2006/relationships/hyperlink" Target="http://blog.transparency.org/2011/07/22/indonesian-ngos-protest-an-unnecessary-revision-of-anti-corruption-laws/" TargetMode="External"/><Relationship Id="rId4" Type="http://schemas.openxmlformats.org/officeDocument/2006/relationships/hyperlink" Target="https://www.cdi.anu.edu.au/CDIwebsite_1998-2004/vietnam/veitnam_downloads/Doung_Grassrootsdemocracy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2980E-EE93-464A-9730-F0E497F36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2173</TotalTime>
  <Pages>3</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dc:creator>
  <cp:lastModifiedBy>Anh Le</cp:lastModifiedBy>
  <cp:revision>10</cp:revision>
  <dcterms:created xsi:type="dcterms:W3CDTF">2013-06-13T08:52:00Z</dcterms:created>
  <dcterms:modified xsi:type="dcterms:W3CDTF">2013-06-16T06:23:00Z</dcterms:modified>
</cp:coreProperties>
</file>