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D9F12" w14:textId="77777777" w:rsidR="008E1D36" w:rsidRPr="0027326F" w:rsidRDefault="008E1D36" w:rsidP="008E1D36">
      <w:pPr>
        <w:jc w:val="center"/>
        <w:rPr>
          <w:rFonts w:asciiTheme="minorHAnsi" w:hAnsiTheme="minorHAnsi"/>
        </w:rPr>
      </w:pPr>
      <w:r w:rsidRPr="0027326F">
        <w:rPr>
          <w:rFonts w:asciiTheme="minorHAnsi" w:hAnsiTheme="minorHAnsi"/>
        </w:rPr>
        <w:t>Globalization, Public Finance and Poverty</w:t>
      </w:r>
    </w:p>
    <w:p w14:paraId="516C8447" w14:textId="77777777" w:rsidR="008E1D36" w:rsidRPr="0027326F" w:rsidRDefault="008E1D36" w:rsidP="008E1D36">
      <w:pPr>
        <w:jc w:val="center"/>
        <w:rPr>
          <w:rFonts w:asciiTheme="minorHAnsi" w:hAnsiTheme="minorHAnsi"/>
        </w:rPr>
      </w:pPr>
    </w:p>
    <w:p w14:paraId="4B1B72AE" w14:textId="77777777" w:rsidR="008E1D36" w:rsidRPr="0027326F" w:rsidRDefault="008E1D36" w:rsidP="008E1D36">
      <w:pPr>
        <w:jc w:val="center"/>
        <w:rPr>
          <w:rFonts w:asciiTheme="minorHAnsi" w:hAnsiTheme="minorHAnsi"/>
        </w:rPr>
      </w:pPr>
      <w:r w:rsidRPr="0027326F">
        <w:rPr>
          <w:rFonts w:asciiTheme="minorHAnsi" w:hAnsiTheme="minorHAnsi"/>
        </w:rPr>
        <w:t>Pablo Beramendi</w:t>
      </w:r>
    </w:p>
    <w:p w14:paraId="770B63B6" w14:textId="77777777" w:rsidR="008E1D36" w:rsidRPr="0027326F" w:rsidRDefault="008E1D36" w:rsidP="008E1D36">
      <w:pPr>
        <w:jc w:val="center"/>
        <w:rPr>
          <w:rFonts w:asciiTheme="minorHAnsi" w:hAnsiTheme="minorHAnsi"/>
        </w:rPr>
      </w:pPr>
      <w:r w:rsidRPr="0027326F">
        <w:rPr>
          <w:rFonts w:asciiTheme="minorHAnsi" w:hAnsiTheme="minorHAnsi"/>
        </w:rPr>
        <w:t xml:space="preserve">Erik </w:t>
      </w:r>
      <w:proofErr w:type="spellStart"/>
      <w:r w:rsidRPr="0027326F">
        <w:rPr>
          <w:rFonts w:asciiTheme="minorHAnsi" w:hAnsiTheme="minorHAnsi"/>
        </w:rPr>
        <w:t>Wibbels</w:t>
      </w:r>
      <w:proofErr w:type="spellEnd"/>
    </w:p>
    <w:p w14:paraId="0AFD298B" w14:textId="77777777" w:rsidR="008E1D36" w:rsidRPr="0027326F" w:rsidRDefault="008E1D36" w:rsidP="008E1D36">
      <w:pPr>
        <w:jc w:val="center"/>
        <w:rPr>
          <w:rFonts w:asciiTheme="minorHAnsi" w:hAnsiTheme="minorHAnsi"/>
        </w:rPr>
      </w:pPr>
      <w:r w:rsidRPr="0027326F">
        <w:rPr>
          <w:rFonts w:asciiTheme="minorHAnsi" w:hAnsiTheme="minorHAnsi"/>
        </w:rPr>
        <w:t>Duke University</w:t>
      </w:r>
    </w:p>
    <w:p w14:paraId="2D2F66AE" w14:textId="77777777" w:rsidR="008E1D36" w:rsidRPr="0027326F" w:rsidRDefault="008E1D36" w:rsidP="008E1D36">
      <w:pPr>
        <w:jc w:val="center"/>
        <w:rPr>
          <w:rFonts w:asciiTheme="minorHAnsi" w:hAnsiTheme="minorHAnsi"/>
        </w:rPr>
      </w:pPr>
    </w:p>
    <w:p w14:paraId="0E82E8FF" w14:textId="77777777" w:rsidR="008E1D36" w:rsidRDefault="0016220F" w:rsidP="00F37D89">
      <w:pPr>
        <w:ind w:firstLine="720"/>
        <w:rPr>
          <w:rFonts w:asciiTheme="minorHAnsi" w:hAnsiTheme="minorHAnsi"/>
        </w:rPr>
      </w:pPr>
      <w:r w:rsidRPr="0027326F">
        <w:rPr>
          <w:rFonts w:asciiTheme="minorHAnsi" w:hAnsiTheme="minorHAnsi"/>
        </w:rPr>
        <w:t>In th</w:t>
      </w:r>
      <w:bookmarkStart w:id="0" w:name="_GoBack"/>
      <w:bookmarkEnd w:id="0"/>
      <w:r w:rsidRPr="0027326F">
        <w:rPr>
          <w:rFonts w:asciiTheme="minorHAnsi" w:hAnsiTheme="minorHAnsi"/>
        </w:rPr>
        <w:t xml:space="preserve">is research note, we emphasize the impact of “globalization” on the poor </w:t>
      </w:r>
      <w:r w:rsidR="00EC0D43">
        <w:rPr>
          <w:rFonts w:asciiTheme="minorHAnsi" w:hAnsiTheme="minorHAnsi"/>
        </w:rPr>
        <w:t>through</w:t>
      </w:r>
      <w:r w:rsidRPr="0027326F">
        <w:rPr>
          <w:rFonts w:asciiTheme="minorHAnsi" w:hAnsiTheme="minorHAnsi"/>
        </w:rPr>
        <w:t xml:space="preserve"> public finances. </w:t>
      </w:r>
      <w:r w:rsidR="001B43EF">
        <w:rPr>
          <w:rFonts w:asciiTheme="minorHAnsi" w:hAnsiTheme="minorHAnsi"/>
        </w:rPr>
        <w:t>Considerable</w:t>
      </w:r>
      <w:r w:rsidR="00EC0D43">
        <w:rPr>
          <w:rFonts w:asciiTheme="minorHAnsi" w:hAnsiTheme="minorHAnsi"/>
        </w:rPr>
        <w:t xml:space="preserve"> research suggests that </w:t>
      </w:r>
      <w:r w:rsidRPr="0027326F">
        <w:rPr>
          <w:rFonts w:asciiTheme="minorHAnsi" w:hAnsiTheme="minorHAnsi"/>
        </w:rPr>
        <w:t>global trade or finance has led to a reduction in corporate tax rates and takes (</w:t>
      </w:r>
      <w:r w:rsidR="00805B89" w:rsidRPr="005C2FA5">
        <w:rPr>
          <w:rFonts w:asciiTheme="minorHAnsi" w:hAnsiTheme="minorHAnsi"/>
        </w:rPr>
        <w:t>Cao 2010</w:t>
      </w:r>
      <w:r w:rsidRPr="005C2FA5">
        <w:rPr>
          <w:rFonts w:asciiTheme="minorHAnsi" w:hAnsiTheme="minorHAnsi"/>
        </w:rPr>
        <w:t>)</w:t>
      </w:r>
      <w:r w:rsidRPr="001B0636">
        <w:rPr>
          <w:rFonts w:asciiTheme="minorHAnsi" w:hAnsiTheme="minorHAnsi"/>
        </w:rPr>
        <w:t xml:space="preserve">, </w:t>
      </w:r>
      <w:r w:rsidR="00F37D89" w:rsidRPr="001B0636">
        <w:rPr>
          <w:rFonts w:asciiTheme="minorHAnsi" w:hAnsiTheme="minorHAnsi"/>
        </w:rPr>
        <w:t xml:space="preserve">a </w:t>
      </w:r>
      <w:r w:rsidR="00805B89" w:rsidRPr="001B0636">
        <w:rPr>
          <w:rFonts w:asciiTheme="minorHAnsi" w:hAnsiTheme="minorHAnsi"/>
        </w:rPr>
        <w:t>concomita</w:t>
      </w:r>
      <w:r w:rsidR="00805B89" w:rsidRPr="0027326F">
        <w:rPr>
          <w:rFonts w:asciiTheme="minorHAnsi" w:hAnsiTheme="minorHAnsi"/>
        </w:rPr>
        <w:t>nt</w:t>
      </w:r>
      <w:r w:rsidR="00F37D89" w:rsidRPr="0027326F">
        <w:rPr>
          <w:rFonts w:asciiTheme="minorHAnsi" w:hAnsiTheme="minorHAnsi"/>
        </w:rPr>
        <w:t xml:space="preserve"> increase in consumption taxes</w:t>
      </w:r>
      <w:r w:rsidR="003A351C">
        <w:rPr>
          <w:rFonts w:asciiTheme="minorHAnsi" w:hAnsiTheme="minorHAnsi"/>
        </w:rPr>
        <w:t xml:space="preserve">, </w:t>
      </w:r>
      <w:r w:rsidR="00F37D89" w:rsidRPr="0027326F">
        <w:rPr>
          <w:rFonts w:asciiTheme="minorHAnsi" w:hAnsiTheme="minorHAnsi"/>
        </w:rPr>
        <w:t xml:space="preserve"> (</w:t>
      </w:r>
      <w:r w:rsidR="00D03145">
        <w:rPr>
          <w:rFonts w:asciiTheme="minorHAnsi" w:hAnsiTheme="minorHAnsi"/>
        </w:rPr>
        <w:t>Beramendi and Rueda 2007</w:t>
      </w:r>
      <w:r w:rsidR="00F37D89" w:rsidRPr="0027326F">
        <w:rPr>
          <w:rFonts w:asciiTheme="minorHAnsi" w:hAnsiTheme="minorHAnsi"/>
        </w:rPr>
        <w:t>), and reductions in welfare spending (</w:t>
      </w:r>
      <w:r w:rsidR="00D03145">
        <w:rPr>
          <w:rFonts w:asciiTheme="minorHAnsi" w:hAnsiTheme="minorHAnsi"/>
        </w:rPr>
        <w:t>Huber and Stephens 2001</w:t>
      </w:r>
      <w:r w:rsidR="00F37D89" w:rsidRPr="0027326F">
        <w:rPr>
          <w:rFonts w:asciiTheme="minorHAnsi" w:hAnsiTheme="minorHAnsi"/>
        </w:rPr>
        <w:t>)</w:t>
      </w:r>
      <w:r w:rsidRPr="0027326F">
        <w:rPr>
          <w:rFonts w:asciiTheme="minorHAnsi" w:hAnsiTheme="minorHAnsi"/>
        </w:rPr>
        <w:t>.</w:t>
      </w:r>
      <w:r w:rsidR="00F37D89" w:rsidRPr="0027326F">
        <w:rPr>
          <w:rFonts w:asciiTheme="minorHAnsi" w:hAnsiTheme="minorHAnsi"/>
        </w:rPr>
        <w:t xml:space="preserve"> </w:t>
      </w:r>
      <w:r w:rsidR="008034C3" w:rsidRPr="0027326F">
        <w:rPr>
          <w:rFonts w:asciiTheme="minorHAnsi" w:hAnsiTheme="minorHAnsi"/>
        </w:rPr>
        <w:t>Though the findings might vary across the developed and developing worlds, the basic idea is that global economic forces are bad for the poor to the extent they constrain the progressivity of taxation and/or public spending.</w:t>
      </w:r>
    </w:p>
    <w:p w14:paraId="4F313290" w14:textId="77777777" w:rsidR="0023226A" w:rsidRPr="0027326F" w:rsidRDefault="0023226A" w:rsidP="00F37D89">
      <w:pPr>
        <w:ind w:firstLine="720"/>
        <w:rPr>
          <w:rFonts w:asciiTheme="minorHAnsi" w:hAnsiTheme="minorHAnsi"/>
        </w:rPr>
      </w:pPr>
    </w:p>
    <w:p w14:paraId="2D6D936F" w14:textId="77777777" w:rsidR="002918F0" w:rsidRPr="0027326F" w:rsidRDefault="00F37D89" w:rsidP="00F37D89">
      <w:pPr>
        <w:rPr>
          <w:rFonts w:asciiTheme="minorHAnsi" w:hAnsiTheme="minorHAnsi"/>
        </w:rPr>
      </w:pPr>
      <w:r w:rsidRPr="0027326F">
        <w:rPr>
          <w:rFonts w:asciiTheme="minorHAnsi" w:hAnsiTheme="minorHAnsi"/>
        </w:rPr>
        <w:tab/>
      </w:r>
      <w:r w:rsidR="00792548">
        <w:rPr>
          <w:rFonts w:asciiTheme="minorHAnsi" w:hAnsiTheme="minorHAnsi"/>
        </w:rPr>
        <w:t>W</w:t>
      </w:r>
      <w:r w:rsidR="008034C3" w:rsidRPr="0027326F">
        <w:rPr>
          <w:rFonts w:asciiTheme="minorHAnsi" w:hAnsiTheme="minorHAnsi"/>
        </w:rPr>
        <w:t>e argue that there are two profound limitations on what we know: First, the reliance on standard cross-national public finance sources has elided broad budget categories with the actual incidence of taxing and spending across the income distribution; and second, almost no research has considered tax expenditures, which represent a black box in our knowledge of public finances</w:t>
      </w:r>
      <w:r w:rsidR="00DC6295">
        <w:rPr>
          <w:rFonts w:asciiTheme="minorHAnsi" w:hAnsiTheme="minorHAnsi"/>
        </w:rPr>
        <w:t xml:space="preserve"> and seem to limit fiscal effort in favor of the poor</w:t>
      </w:r>
      <w:r w:rsidR="002F66BC" w:rsidRPr="0027326F">
        <w:rPr>
          <w:rFonts w:asciiTheme="minorHAnsi" w:hAnsiTheme="minorHAnsi"/>
        </w:rPr>
        <w:t xml:space="preserve">. </w:t>
      </w:r>
      <w:r w:rsidR="002918F0" w:rsidRPr="0027326F">
        <w:rPr>
          <w:rFonts w:asciiTheme="minorHAnsi" w:hAnsiTheme="minorHAnsi"/>
        </w:rPr>
        <w:t xml:space="preserve">In the following pages, </w:t>
      </w:r>
      <w:r w:rsidR="0023226A">
        <w:rPr>
          <w:rFonts w:asciiTheme="minorHAnsi" w:hAnsiTheme="minorHAnsi"/>
        </w:rPr>
        <w:t xml:space="preserve">we discuss these issues sequentially. We conclude with </w:t>
      </w:r>
      <w:r w:rsidR="0024020C" w:rsidRPr="0027326F">
        <w:rPr>
          <w:rFonts w:asciiTheme="minorHAnsi" w:hAnsiTheme="minorHAnsi"/>
        </w:rPr>
        <w:t xml:space="preserve">some recommendations for future work that would provide a more solid evidentiary for work on the political economy of public finances. </w:t>
      </w:r>
    </w:p>
    <w:p w14:paraId="5FBDC9FC" w14:textId="77777777" w:rsidR="00F37D89" w:rsidRPr="0027326F" w:rsidRDefault="00F37D89" w:rsidP="00F37D89">
      <w:pPr>
        <w:rPr>
          <w:rFonts w:asciiTheme="minorHAnsi" w:hAnsiTheme="minorHAnsi"/>
        </w:rPr>
      </w:pPr>
    </w:p>
    <w:p w14:paraId="0EFABF63" w14:textId="77777777" w:rsidR="00F37D89" w:rsidRPr="0027326F" w:rsidRDefault="00507729" w:rsidP="00ED712B">
      <w:pPr>
        <w:pStyle w:val="ListParagraph"/>
        <w:numPr>
          <w:ilvl w:val="0"/>
          <w:numId w:val="1"/>
        </w:numPr>
        <w:rPr>
          <w:rFonts w:asciiTheme="minorHAnsi" w:hAnsiTheme="minorHAnsi"/>
          <w:i/>
        </w:rPr>
      </w:pPr>
      <w:r>
        <w:rPr>
          <w:rFonts w:asciiTheme="minorHAnsi" w:hAnsiTheme="minorHAnsi"/>
          <w:i/>
        </w:rPr>
        <w:t>Globalization and t</w:t>
      </w:r>
      <w:r w:rsidR="00F37D89" w:rsidRPr="0027326F">
        <w:rPr>
          <w:rFonts w:asciiTheme="minorHAnsi" w:hAnsiTheme="minorHAnsi"/>
          <w:i/>
        </w:rPr>
        <w:t>he Incidence of Taxing and Spending</w:t>
      </w:r>
    </w:p>
    <w:p w14:paraId="448CEF96" w14:textId="77777777" w:rsidR="00ED712B" w:rsidRPr="0027326F" w:rsidRDefault="00ED712B" w:rsidP="00ED712B">
      <w:pPr>
        <w:rPr>
          <w:rFonts w:asciiTheme="minorHAnsi" w:hAnsiTheme="minorHAnsi"/>
          <w:i/>
        </w:rPr>
      </w:pPr>
    </w:p>
    <w:p w14:paraId="6DD0374A" w14:textId="77777777" w:rsidR="005C2FA5" w:rsidRPr="005C2FA5" w:rsidRDefault="001B43EF" w:rsidP="001B0636">
      <w:pPr>
        <w:ind w:firstLine="360"/>
        <w:rPr>
          <w:rFonts w:asciiTheme="minorHAnsi" w:hAnsiTheme="minorHAnsi"/>
        </w:rPr>
      </w:pPr>
      <w:r>
        <w:rPr>
          <w:rFonts w:asciiTheme="minorHAnsi" w:hAnsiTheme="minorHAnsi"/>
        </w:rPr>
        <w:t>If</w:t>
      </w:r>
      <w:r w:rsidR="007A6341" w:rsidRPr="0027326F">
        <w:rPr>
          <w:rFonts w:asciiTheme="minorHAnsi" w:hAnsiTheme="minorHAnsi"/>
        </w:rPr>
        <w:t xml:space="preserve"> globalization </w:t>
      </w:r>
      <w:r>
        <w:rPr>
          <w:rFonts w:asciiTheme="minorHAnsi" w:hAnsiTheme="minorHAnsi"/>
        </w:rPr>
        <w:t>impacts</w:t>
      </w:r>
      <w:r w:rsidRPr="0027326F">
        <w:rPr>
          <w:rFonts w:asciiTheme="minorHAnsi" w:hAnsiTheme="minorHAnsi"/>
        </w:rPr>
        <w:t xml:space="preserve"> </w:t>
      </w:r>
      <w:r w:rsidR="007A6341" w:rsidRPr="0027326F">
        <w:rPr>
          <w:rFonts w:asciiTheme="minorHAnsi" w:hAnsiTheme="minorHAnsi"/>
        </w:rPr>
        <w:t>poverty</w:t>
      </w:r>
      <w:r w:rsidR="00507729">
        <w:rPr>
          <w:rFonts w:asciiTheme="minorHAnsi" w:hAnsiTheme="minorHAnsi"/>
        </w:rPr>
        <w:t xml:space="preserve"> or inequality through </w:t>
      </w:r>
      <w:r w:rsidR="007A6341" w:rsidRPr="0027326F">
        <w:rPr>
          <w:rFonts w:asciiTheme="minorHAnsi" w:hAnsiTheme="minorHAnsi"/>
        </w:rPr>
        <w:t>fiscal policy</w:t>
      </w:r>
      <w:r>
        <w:rPr>
          <w:rFonts w:asciiTheme="minorHAnsi" w:hAnsiTheme="minorHAnsi"/>
        </w:rPr>
        <w:t>, m</w:t>
      </w:r>
      <w:r w:rsidR="007A6341" w:rsidRPr="0027326F">
        <w:rPr>
          <w:rFonts w:asciiTheme="minorHAnsi" w:hAnsiTheme="minorHAnsi"/>
        </w:rPr>
        <w:t>uch hinges on the ability of budgetary data to proxy the redistributive incidence of taxes and transfers. The redistributive incidence of public policy is an old problem in public economics</w:t>
      </w:r>
      <w:r>
        <w:rPr>
          <w:rFonts w:asciiTheme="minorHAnsi" w:hAnsiTheme="minorHAnsi"/>
        </w:rPr>
        <w:t xml:space="preserve">, where </w:t>
      </w:r>
      <w:r w:rsidR="007A6341" w:rsidRPr="0027326F">
        <w:rPr>
          <w:rFonts w:asciiTheme="minorHAnsi" w:hAnsiTheme="minorHAnsi"/>
        </w:rPr>
        <w:t xml:space="preserve">it is well established that the size of particular </w:t>
      </w:r>
      <w:r w:rsidR="00647A01" w:rsidRPr="0027326F">
        <w:rPr>
          <w:rFonts w:asciiTheme="minorHAnsi" w:hAnsiTheme="minorHAnsi"/>
        </w:rPr>
        <w:t>budget categories</w:t>
      </w:r>
      <w:r w:rsidR="007A6341" w:rsidRPr="0027326F">
        <w:rPr>
          <w:rFonts w:asciiTheme="minorHAnsi" w:hAnsiTheme="minorHAnsi"/>
        </w:rPr>
        <w:t xml:space="preserve"> is a very poor proxy for their distributive impact.  The implication is clear: trying to make sense of the socio-economic consequences of globalization on the poor by focusing on the budgetary size of policies allegedly benefitting the poor (such as social spending) is a fruitless</w:t>
      </w:r>
      <w:r w:rsidR="0027326F" w:rsidRPr="0027326F">
        <w:rPr>
          <w:rFonts w:asciiTheme="minorHAnsi" w:hAnsiTheme="minorHAnsi"/>
        </w:rPr>
        <w:t xml:space="preserve"> and potentially</w:t>
      </w:r>
      <w:r w:rsidR="007A6341" w:rsidRPr="0027326F">
        <w:rPr>
          <w:rFonts w:asciiTheme="minorHAnsi" w:hAnsiTheme="minorHAnsi"/>
        </w:rPr>
        <w:t xml:space="preserve"> misleading path.</w:t>
      </w:r>
      <w:r w:rsidR="005C2FA5">
        <w:rPr>
          <w:rFonts w:asciiTheme="minorHAnsi" w:hAnsiTheme="minorHAnsi"/>
        </w:rPr>
        <w:tab/>
      </w:r>
    </w:p>
    <w:p w14:paraId="67E5FE01" w14:textId="77777777" w:rsidR="00636BD1" w:rsidRPr="005C2FA5" w:rsidRDefault="00967000" w:rsidP="005C2FA5">
      <w:pPr>
        <w:ind w:firstLine="720"/>
        <w:rPr>
          <w:rFonts w:asciiTheme="minorHAnsi" w:hAnsiTheme="minorHAnsi"/>
        </w:rPr>
      </w:pPr>
      <w:r w:rsidRPr="005C2FA5">
        <w:rPr>
          <w:rFonts w:asciiTheme="minorHAnsi" w:hAnsiTheme="minorHAnsi"/>
        </w:rPr>
        <w:t xml:space="preserve">To see why, consider the standard decomposition of the redistributive impact of fiscal policy. </w:t>
      </w:r>
      <w:r w:rsidR="00636BD1" w:rsidRPr="005C2FA5">
        <w:rPr>
          <w:rFonts w:asciiTheme="minorHAnsi" w:hAnsiTheme="minorHAnsi"/>
        </w:rPr>
        <w:t xml:space="preserve">Following </w:t>
      </w:r>
      <w:proofErr w:type="spellStart"/>
      <w:r w:rsidR="00636BD1" w:rsidRPr="005C2FA5">
        <w:rPr>
          <w:rFonts w:asciiTheme="minorHAnsi" w:hAnsiTheme="minorHAnsi"/>
        </w:rPr>
        <w:t>Kakwani</w:t>
      </w:r>
      <w:proofErr w:type="spellEnd"/>
      <w:r w:rsidR="00557CA0">
        <w:rPr>
          <w:rFonts w:asciiTheme="minorHAnsi" w:hAnsiTheme="minorHAnsi"/>
        </w:rPr>
        <w:t xml:space="preserve">, </w:t>
      </w:r>
      <w:r w:rsidR="00636BD1" w:rsidRPr="005C2FA5">
        <w:rPr>
          <w:rFonts w:asciiTheme="minorHAnsi" w:hAnsiTheme="minorHAnsi"/>
        </w:rPr>
        <w:t xml:space="preserve">the overall redistributive impact of the fiscal system – measured by the difference between market and disposable income </w:t>
      </w:r>
      <w:proofErr w:type="spellStart"/>
      <w:r w:rsidR="00636BD1" w:rsidRPr="005C2FA5">
        <w:rPr>
          <w:rFonts w:asciiTheme="minorHAnsi" w:hAnsiTheme="minorHAnsi"/>
        </w:rPr>
        <w:t>Gini</w:t>
      </w:r>
      <w:proofErr w:type="spellEnd"/>
      <w:r w:rsidR="00636BD1" w:rsidRPr="005C2FA5">
        <w:rPr>
          <w:rFonts w:asciiTheme="minorHAnsi" w:hAnsiTheme="minorHAnsi"/>
        </w:rPr>
        <w:t xml:space="preserve"> coefficients – can be broken into two components </w:t>
      </w:r>
      <w:r w:rsidR="00636BD1" w:rsidRPr="005C2FA5">
        <w:rPr>
          <w:rFonts w:asciiTheme="minorHAnsi" w:hAnsiTheme="minorHAnsi"/>
        </w:rPr>
        <w:fldChar w:fldCharType="begin"/>
      </w:r>
      <w:r w:rsidR="00636BD1" w:rsidRPr="005C2FA5">
        <w:rPr>
          <w:rFonts w:asciiTheme="minorHAnsi" w:hAnsiTheme="minorHAnsi"/>
        </w:rPr>
        <w:instrText xml:space="preserve"> ADDIN ZOTERO_ITEM {"citationID":"heRVzAAH","properties":{"formattedCitation":"(Kakwani 1977; Kim and Lambert 2009)","plainCitation":"(Kakwani 1977; Kim and Lambert 2009)"},"citationItems":[{"id":1292,"uris":["http://zotero.org/users/252130/items/QE7V429P"],"uri":["http://zotero.org/users/252130/items/QE7V429P"]},{"id":1318,"uris":["http://zotero.org/users/252130/items/QT583HIN"],"uri":["http://zotero.org/users/252130/items/QT583HIN"]}]} </w:instrText>
      </w:r>
      <w:r w:rsidR="00636BD1" w:rsidRPr="005C2FA5">
        <w:rPr>
          <w:rFonts w:asciiTheme="minorHAnsi" w:hAnsiTheme="minorHAnsi"/>
        </w:rPr>
        <w:fldChar w:fldCharType="separate"/>
      </w:r>
      <w:r w:rsidR="00636BD1" w:rsidRPr="005C2FA5">
        <w:rPr>
          <w:rFonts w:asciiTheme="minorHAnsi" w:hAnsiTheme="minorHAnsi"/>
        </w:rPr>
        <w:t>(Kakwani 1977)</w:t>
      </w:r>
      <w:r w:rsidR="00636BD1" w:rsidRPr="005C2FA5">
        <w:rPr>
          <w:rFonts w:asciiTheme="minorHAnsi" w:hAnsiTheme="minorHAnsi"/>
        </w:rPr>
        <w:fldChar w:fldCharType="end"/>
      </w:r>
      <w:r w:rsidR="00636BD1" w:rsidRPr="005C2FA5">
        <w:rPr>
          <w:rFonts w:asciiTheme="minorHAnsi" w:hAnsiTheme="minorHAnsi"/>
        </w:rPr>
        <w:t xml:space="preserve">: </w:t>
      </w:r>
      <w:r w:rsidR="0027326F" w:rsidRPr="005C2FA5">
        <w:rPr>
          <w:rFonts w:asciiTheme="minorHAnsi" w:hAnsiTheme="minorHAnsi"/>
        </w:rPr>
        <w:t>T</w:t>
      </w:r>
      <w:r w:rsidR="00636BD1" w:rsidRPr="005C2FA5">
        <w:rPr>
          <w:rFonts w:asciiTheme="minorHAnsi" w:hAnsiTheme="minorHAnsi"/>
        </w:rPr>
        <w:t>he scope of the effort and its progressivity. The relationship can be formally stated as follows:</w:t>
      </w:r>
      <w:r w:rsidR="00636BD1" w:rsidRPr="005C2FA5">
        <w:rPr>
          <w:rStyle w:val="FootnoteReference"/>
          <w:rFonts w:asciiTheme="minorHAnsi" w:hAnsiTheme="minorHAnsi"/>
        </w:rPr>
        <w:footnoteReference w:id="1"/>
      </w:r>
    </w:p>
    <w:p w14:paraId="7D4E4A65" w14:textId="77777777" w:rsidR="00636BD1" w:rsidRPr="005C2FA5" w:rsidRDefault="00636BD1" w:rsidP="00ED712B">
      <w:pPr>
        <w:rPr>
          <w:rFonts w:asciiTheme="minorHAnsi" w:hAnsiTheme="minorHAnsi"/>
        </w:rPr>
      </w:pPr>
    </w:p>
    <w:p w14:paraId="3F890352" w14:textId="77777777" w:rsidR="00636BD1" w:rsidRPr="005C2FA5" w:rsidRDefault="000718D1" w:rsidP="00ED712B">
      <w:pPr>
        <w:jc w:val="center"/>
        <w:rPr>
          <w:rFonts w:asciiTheme="minorHAnsi" w:hAnsiTheme="minorHAnsi"/>
        </w:rPr>
      </w:pPr>
      <m:oMath>
        <m:sSup>
          <m:sSupPr>
            <m:ctrlPr>
              <w:rPr>
                <w:rFonts w:ascii="Cambria Math" w:hAnsi="Cambria Math"/>
                <w:i/>
              </w:rPr>
            </m:ctrlPr>
          </m:sSupPr>
          <m:e>
            <m:r>
              <w:rPr>
                <w:rFonts w:ascii="Cambria Math" w:hAnsi="Cambria Math"/>
              </w:rPr>
              <m:t>Gini</m:t>
            </m:r>
          </m:e>
          <m:sup>
            <m:r>
              <w:rPr>
                <w:rFonts w:ascii="Cambria Math" w:hAnsi="Cambria Math"/>
              </w:rPr>
              <m:t>market</m:t>
            </m:r>
          </m:sup>
        </m:sSup>
        <m:r>
          <w:rPr>
            <w:rFonts w:ascii="Cambria Math" w:hAnsi="Cambria Math"/>
          </w:rPr>
          <m:t>-</m:t>
        </m:r>
        <m:sSup>
          <m:sSupPr>
            <m:ctrlPr>
              <w:rPr>
                <w:rFonts w:ascii="Cambria Math" w:hAnsi="Cambria Math"/>
                <w:i/>
              </w:rPr>
            </m:ctrlPr>
          </m:sSupPr>
          <m:e>
            <m:r>
              <w:rPr>
                <w:rFonts w:ascii="Cambria Math" w:hAnsi="Cambria Math"/>
              </w:rPr>
              <m:t>Gini</m:t>
            </m:r>
          </m:e>
          <m:sup>
            <m:r>
              <w:rPr>
                <w:rFonts w:ascii="Cambria Math" w:hAnsi="Cambria Math"/>
              </w:rPr>
              <m:t>disposable</m:t>
            </m:r>
          </m:sup>
        </m:sSup>
        <m:r>
          <w:rPr>
            <w:rFonts w:ascii="Cambria Math" w:hAnsi="Cambria Math"/>
          </w:rPr>
          <m:t>=</m:t>
        </m:r>
        <m:f>
          <m:fPr>
            <m:ctrlPr>
              <w:rPr>
                <w:rFonts w:ascii="Cambria Math" w:hAnsi="Cambria Math"/>
                <w:i/>
              </w:rPr>
            </m:ctrlPr>
          </m:fPr>
          <m:num>
            <m:r>
              <w:rPr>
                <w:rFonts w:ascii="Cambria Math" w:hAnsi="Cambria Math"/>
              </w:rPr>
              <m:t>τ</m:t>
            </m:r>
          </m:num>
          <m:den>
            <m:d>
              <m:dPr>
                <m:ctrlPr>
                  <w:rPr>
                    <w:rFonts w:ascii="Cambria Math" w:hAnsi="Cambria Math"/>
                    <w:i/>
                  </w:rPr>
                </m:ctrlPr>
              </m:dPr>
              <m:e>
                <m:r>
                  <w:rPr>
                    <w:rFonts w:ascii="Cambria Math" w:hAnsi="Cambria Math"/>
                  </w:rPr>
                  <m:t>1-τ</m:t>
                </m:r>
              </m:e>
            </m:d>
          </m:den>
        </m:f>
        <m:r>
          <w:rPr>
            <w:rFonts w:ascii="Cambria Math" w:hAnsi="Cambria Math"/>
          </w:rPr>
          <m:t>β=</m:t>
        </m:r>
        <m:f>
          <m:fPr>
            <m:ctrlPr>
              <w:rPr>
                <w:rFonts w:ascii="Cambria Math" w:hAnsi="Cambria Math"/>
                <w:i/>
              </w:rPr>
            </m:ctrlPr>
          </m:fPr>
          <m:num>
            <m:r>
              <w:rPr>
                <w:rFonts w:ascii="Cambria Math" w:hAnsi="Cambria Math"/>
              </w:rPr>
              <m:t>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B</m:t>
                    </m:r>
                  </m:sup>
                </m:sSup>
              </m:e>
            </m:d>
          </m:num>
          <m:den>
            <m:r>
              <w:rPr>
                <w:rFonts w:ascii="Cambria Math" w:hAnsi="Cambria Math"/>
              </w:rPr>
              <m:t>1-t+b</m:t>
            </m:r>
          </m:den>
        </m:f>
      </m:oMath>
      <w:r w:rsidR="00636BD1" w:rsidRPr="005C2FA5">
        <w:rPr>
          <w:rFonts w:asciiTheme="minorHAnsi" w:hAnsiTheme="minorHAnsi"/>
        </w:rPr>
        <w:tab/>
        <w:t>[1]</w:t>
      </w:r>
    </w:p>
    <w:p w14:paraId="065139BC" w14:textId="77777777" w:rsidR="0027326F" w:rsidRPr="005C2FA5" w:rsidRDefault="00636BD1" w:rsidP="00ED712B">
      <w:pPr>
        <w:rPr>
          <w:rFonts w:asciiTheme="minorHAnsi" w:hAnsiTheme="minorHAnsi"/>
        </w:rPr>
      </w:pPr>
      <w:proofErr w:type="gramStart"/>
      <w:r w:rsidRPr="005C2FA5">
        <w:rPr>
          <w:rFonts w:asciiTheme="minorHAnsi" w:hAnsiTheme="minorHAnsi"/>
        </w:rPr>
        <w:t>where</w:t>
      </w:r>
      <w:proofErr w:type="gramEnd"/>
      <w:r w:rsidRPr="005C2FA5">
        <w:rPr>
          <w:rFonts w:asciiTheme="minorHAnsi" w:hAnsiTheme="minorHAnsi"/>
        </w:rPr>
        <w:t xml:space="preserve"> </w:t>
      </w:r>
      <w:r w:rsidRPr="005C2FA5">
        <w:rPr>
          <w:rFonts w:asciiTheme="minorHAnsi" w:hAnsiTheme="minorHAnsi"/>
          <w:i/>
        </w:rPr>
        <w:t>t</w:t>
      </w:r>
      <w:r w:rsidRPr="005C2FA5">
        <w:rPr>
          <w:rFonts w:asciiTheme="minorHAnsi" w:hAnsiTheme="minorHAnsi"/>
        </w:rPr>
        <w:t xml:space="preserve"> denotes the tax level, </w:t>
      </w:r>
      <w:r w:rsidRPr="005C2FA5">
        <w:rPr>
          <w:rFonts w:asciiTheme="minorHAnsi" w:hAnsiTheme="minorHAnsi"/>
          <w:i/>
        </w:rPr>
        <w:t>b</w:t>
      </w:r>
      <w:r w:rsidRPr="005C2FA5">
        <w:rPr>
          <w:rFonts w:asciiTheme="minorHAnsi" w:hAnsiTheme="minorHAnsi"/>
        </w:rPr>
        <w:t xml:space="preserve"> denotes the benefit level and β</w:t>
      </w:r>
      <w:r w:rsidRPr="005C2FA5">
        <w:rPr>
          <w:rFonts w:asciiTheme="minorHAnsi" w:hAnsiTheme="minorHAnsi"/>
          <w:vertAlign w:val="superscript"/>
        </w:rPr>
        <w:t>T</w:t>
      </w:r>
      <w:r w:rsidRPr="005C2FA5">
        <w:rPr>
          <w:rFonts w:asciiTheme="minorHAnsi" w:hAnsiTheme="minorHAnsi"/>
        </w:rPr>
        <w:t xml:space="preserve"> and β</w:t>
      </w:r>
      <w:r w:rsidRPr="005C2FA5">
        <w:rPr>
          <w:rFonts w:asciiTheme="minorHAnsi" w:hAnsiTheme="minorHAnsi"/>
          <w:vertAlign w:val="superscript"/>
        </w:rPr>
        <w:t>B</w:t>
      </w:r>
      <w:r w:rsidRPr="005C2FA5">
        <w:rPr>
          <w:rFonts w:asciiTheme="minorHAnsi" w:hAnsiTheme="minorHAnsi"/>
        </w:rPr>
        <w:t xml:space="preserve"> indicate the progressivity of taxes and benefits. </w:t>
      </w:r>
      <w:r w:rsidR="00792548">
        <w:rPr>
          <w:rFonts w:asciiTheme="minorHAnsi" w:hAnsiTheme="minorHAnsi"/>
        </w:rPr>
        <w:t xml:space="preserve"> </w:t>
      </w:r>
      <w:r w:rsidR="00E30F41" w:rsidRPr="005C2FA5">
        <w:rPr>
          <w:rFonts w:asciiTheme="minorHAnsi" w:hAnsiTheme="minorHAnsi"/>
        </w:rPr>
        <w:t xml:space="preserve">That is to say: the redistributive incidence of public finance is a function of both budgetary effort and design, </w:t>
      </w:r>
      <w:r w:rsidR="0027326F" w:rsidRPr="005C2FA5">
        <w:rPr>
          <w:rFonts w:asciiTheme="minorHAnsi" w:hAnsiTheme="minorHAnsi"/>
        </w:rPr>
        <w:t xml:space="preserve">i.e. </w:t>
      </w:r>
      <w:r w:rsidRPr="005C2FA5">
        <w:rPr>
          <w:rFonts w:asciiTheme="minorHAnsi" w:hAnsiTheme="minorHAnsi"/>
        </w:rPr>
        <w:t>of the size of the welfare state (</w:t>
      </w:r>
      <w:r w:rsidR="00792548">
        <w:rPr>
          <w:rFonts w:asciiTheme="minorHAnsi" w:hAnsiTheme="minorHAnsi"/>
        </w:rPr>
        <w:t>t</w:t>
      </w:r>
      <w:r w:rsidRPr="005C2FA5">
        <w:rPr>
          <w:rFonts w:asciiTheme="minorHAnsi" w:hAnsiTheme="minorHAnsi"/>
        </w:rPr>
        <w:t>) and the progressivity of its taxes</w:t>
      </w:r>
      <w:r w:rsidR="00E30F41" w:rsidRPr="005C2FA5">
        <w:rPr>
          <w:rFonts w:asciiTheme="minorHAnsi" w:hAnsiTheme="minorHAnsi"/>
        </w:rPr>
        <w:t xml:space="preserve"> and benefits</w:t>
      </w:r>
      <w:r w:rsidRPr="005C2FA5">
        <w:rPr>
          <w:rFonts w:asciiTheme="minorHAnsi" w:hAnsiTheme="minorHAnsi"/>
        </w:rPr>
        <w:t xml:space="preserve"> (β</w:t>
      </w:r>
      <w:r w:rsidRPr="005C2FA5">
        <w:rPr>
          <w:rFonts w:asciiTheme="minorHAnsi" w:hAnsiTheme="minorHAnsi"/>
          <w:vertAlign w:val="superscript"/>
        </w:rPr>
        <w:t>T</w:t>
      </w:r>
      <w:r w:rsidR="00E30F41" w:rsidRPr="005C2FA5">
        <w:rPr>
          <w:rFonts w:asciiTheme="minorHAnsi" w:hAnsiTheme="minorHAnsi"/>
        </w:rPr>
        <w:t xml:space="preserve">, </w:t>
      </w:r>
      <w:r w:rsidRPr="005C2FA5">
        <w:rPr>
          <w:rFonts w:asciiTheme="minorHAnsi" w:hAnsiTheme="minorHAnsi"/>
        </w:rPr>
        <w:t>β</w:t>
      </w:r>
      <w:r w:rsidRPr="005C2FA5">
        <w:rPr>
          <w:rFonts w:asciiTheme="minorHAnsi" w:hAnsiTheme="minorHAnsi"/>
          <w:vertAlign w:val="superscript"/>
        </w:rPr>
        <w:t>B</w:t>
      </w:r>
      <w:r w:rsidRPr="005C2FA5">
        <w:rPr>
          <w:rFonts w:asciiTheme="minorHAnsi" w:hAnsiTheme="minorHAnsi"/>
        </w:rPr>
        <w:t xml:space="preserve">). </w:t>
      </w:r>
      <w:r w:rsidR="001B0636">
        <w:rPr>
          <w:rFonts w:asciiTheme="minorHAnsi" w:hAnsiTheme="minorHAnsi"/>
        </w:rPr>
        <w:t xml:space="preserve">Obviously, the same tax, an income tax for instance, can be more or less progressive. The same holds for expenditures; spending on social security, unemployment, education and the like vary not only in scale but also in progressivity across countries. </w:t>
      </w:r>
    </w:p>
    <w:p w14:paraId="752085B6" w14:textId="77777777" w:rsidR="007A00B8" w:rsidRDefault="0027326F" w:rsidP="002918F0">
      <w:pPr>
        <w:rPr>
          <w:rFonts w:asciiTheme="minorHAnsi" w:hAnsiTheme="minorHAnsi"/>
        </w:rPr>
      </w:pPr>
      <w:r>
        <w:rPr>
          <w:rFonts w:asciiTheme="minorHAnsi" w:hAnsiTheme="minorHAnsi"/>
        </w:rPr>
        <w:lastRenderedPageBreak/>
        <w:tab/>
      </w:r>
      <w:r w:rsidR="00E30F41" w:rsidRPr="005C2FA5">
        <w:rPr>
          <w:rFonts w:asciiTheme="minorHAnsi" w:hAnsiTheme="minorHAnsi"/>
        </w:rPr>
        <w:t>A</w:t>
      </w:r>
      <w:r w:rsidR="0099631F" w:rsidRPr="005C2FA5">
        <w:rPr>
          <w:rFonts w:asciiTheme="minorHAnsi" w:hAnsiTheme="minorHAnsi"/>
        </w:rPr>
        <w:t>ny claim on the effect of globalization on poverty via public finances would have to take the incidence of taxes and spending seriously</w:t>
      </w:r>
      <w:r w:rsidR="001E22B6" w:rsidRPr="001B0636">
        <w:rPr>
          <w:rFonts w:asciiTheme="minorHAnsi" w:hAnsiTheme="minorHAnsi"/>
        </w:rPr>
        <w:t>, but most research has not</w:t>
      </w:r>
      <w:r w:rsidR="0099631F" w:rsidRPr="001B0636">
        <w:rPr>
          <w:rFonts w:asciiTheme="minorHAnsi" w:hAnsiTheme="minorHAnsi"/>
        </w:rPr>
        <w:t xml:space="preserve">. </w:t>
      </w:r>
      <w:r w:rsidR="001E22B6" w:rsidRPr="001B0636">
        <w:rPr>
          <w:rFonts w:asciiTheme="minorHAnsi" w:hAnsiTheme="minorHAnsi"/>
        </w:rPr>
        <w:t>M</w:t>
      </w:r>
      <w:r w:rsidR="003930A5" w:rsidRPr="001B0636">
        <w:rPr>
          <w:rFonts w:asciiTheme="minorHAnsi" w:hAnsiTheme="minorHAnsi"/>
        </w:rPr>
        <w:t xml:space="preserve">ost cross-national work on the link between globalization and public finances relies on the IMF’s </w:t>
      </w:r>
      <w:r w:rsidR="003930A5" w:rsidRPr="0027326F">
        <w:rPr>
          <w:rFonts w:asciiTheme="minorHAnsi" w:hAnsiTheme="minorHAnsi"/>
          <w:i/>
        </w:rPr>
        <w:t>Government Finance Statistics</w:t>
      </w:r>
      <w:r w:rsidR="003930A5" w:rsidRPr="0027326F">
        <w:rPr>
          <w:rFonts w:asciiTheme="minorHAnsi" w:hAnsiTheme="minorHAnsi"/>
        </w:rPr>
        <w:t xml:space="preserve"> (GFS)</w:t>
      </w:r>
      <w:r w:rsidR="0099631F" w:rsidRPr="0027326F">
        <w:rPr>
          <w:rFonts w:asciiTheme="minorHAnsi" w:hAnsiTheme="minorHAnsi"/>
        </w:rPr>
        <w:t>, which provides no information on incidence</w:t>
      </w:r>
      <w:r w:rsidR="003930A5" w:rsidRPr="0027326F">
        <w:rPr>
          <w:rFonts w:asciiTheme="minorHAnsi" w:hAnsiTheme="minorHAnsi"/>
        </w:rPr>
        <w:t xml:space="preserve">. The GFS reports revenues </w:t>
      </w:r>
      <w:r w:rsidR="0065681A" w:rsidRPr="0027326F">
        <w:rPr>
          <w:rFonts w:asciiTheme="minorHAnsi" w:hAnsiTheme="minorHAnsi"/>
        </w:rPr>
        <w:t>under 4</w:t>
      </w:r>
      <w:r w:rsidR="00A65378" w:rsidRPr="0027326F">
        <w:rPr>
          <w:rFonts w:asciiTheme="minorHAnsi" w:hAnsiTheme="minorHAnsi"/>
        </w:rPr>
        <w:t xml:space="preserve"> broad categories </w:t>
      </w:r>
      <w:r w:rsidR="003930A5" w:rsidRPr="0027326F">
        <w:rPr>
          <w:rFonts w:asciiTheme="minorHAnsi" w:hAnsiTheme="minorHAnsi"/>
        </w:rPr>
        <w:t>and expend</w:t>
      </w:r>
      <w:r w:rsidR="00CC5CC6" w:rsidRPr="0027326F">
        <w:rPr>
          <w:rFonts w:asciiTheme="minorHAnsi" w:hAnsiTheme="minorHAnsi"/>
        </w:rPr>
        <w:t xml:space="preserve">itures </w:t>
      </w:r>
      <w:r w:rsidR="001B0636">
        <w:rPr>
          <w:rFonts w:asciiTheme="minorHAnsi" w:hAnsiTheme="minorHAnsi"/>
        </w:rPr>
        <w:t>under</w:t>
      </w:r>
      <w:r w:rsidR="00A65378" w:rsidRPr="001B0636">
        <w:rPr>
          <w:rFonts w:asciiTheme="minorHAnsi" w:hAnsiTheme="minorHAnsi"/>
        </w:rPr>
        <w:t xml:space="preserve"> 10</w:t>
      </w:r>
      <w:r w:rsidR="00CC5CC6" w:rsidRPr="001B0636">
        <w:rPr>
          <w:rFonts w:asciiTheme="minorHAnsi" w:hAnsiTheme="minorHAnsi"/>
        </w:rPr>
        <w:t xml:space="preserve"> broad categories</w:t>
      </w:r>
      <w:r w:rsidR="0065681A" w:rsidRPr="001B0636">
        <w:rPr>
          <w:rFonts w:asciiTheme="minorHAnsi" w:hAnsiTheme="minorHAnsi"/>
        </w:rPr>
        <w:t>;</w:t>
      </w:r>
      <w:r w:rsidR="00A65378" w:rsidRPr="0027326F">
        <w:rPr>
          <w:rFonts w:asciiTheme="minorHAnsi" w:hAnsiTheme="minorHAnsi"/>
        </w:rPr>
        <w:t xml:space="preserve"> </w:t>
      </w:r>
      <w:r w:rsidR="0065681A" w:rsidRPr="0027326F">
        <w:rPr>
          <w:rFonts w:asciiTheme="minorHAnsi" w:hAnsiTheme="minorHAnsi"/>
        </w:rPr>
        <w:t xml:space="preserve">these broad categories are </w:t>
      </w:r>
      <w:r w:rsidR="00CC5CC6" w:rsidRPr="0027326F">
        <w:rPr>
          <w:rFonts w:asciiTheme="minorHAnsi" w:hAnsiTheme="minorHAnsi"/>
        </w:rPr>
        <w:t xml:space="preserve">in turn broken into </w:t>
      </w:r>
      <w:r w:rsidR="0065681A" w:rsidRPr="0027326F">
        <w:rPr>
          <w:rFonts w:asciiTheme="minorHAnsi" w:hAnsiTheme="minorHAnsi"/>
        </w:rPr>
        <w:t>a plethora of</w:t>
      </w:r>
      <w:r w:rsidR="00CC5CC6" w:rsidRPr="0027326F">
        <w:rPr>
          <w:rFonts w:asciiTheme="minorHAnsi" w:hAnsiTheme="minorHAnsi"/>
        </w:rPr>
        <w:t xml:space="preserve"> subcategories. </w:t>
      </w:r>
      <w:r w:rsidR="003930A5" w:rsidRPr="0027326F">
        <w:rPr>
          <w:rFonts w:asciiTheme="minorHAnsi" w:hAnsiTheme="minorHAnsi"/>
        </w:rPr>
        <w:t xml:space="preserve"> </w:t>
      </w:r>
      <w:r w:rsidR="001E22B6" w:rsidRPr="0027326F">
        <w:rPr>
          <w:rFonts w:asciiTheme="minorHAnsi" w:hAnsiTheme="minorHAnsi"/>
        </w:rPr>
        <w:t>There are important be</w:t>
      </w:r>
      <w:r w:rsidR="001E22B6" w:rsidRPr="005C2FA5">
        <w:rPr>
          <w:rFonts w:asciiTheme="minorHAnsi" w:hAnsiTheme="minorHAnsi"/>
        </w:rPr>
        <w:t xml:space="preserve">nefits to the GFS. Most importantly, it </w:t>
      </w:r>
      <w:r w:rsidR="00E112FB" w:rsidRPr="005C2FA5">
        <w:rPr>
          <w:rFonts w:asciiTheme="minorHAnsi" w:hAnsiTheme="minorHAnsi"/>
        </w:rPr>
        <w:t>provides</w:t>
      </w:r>
      <w:r w:rsidR="001E22B6" w:rsidRPr="005C2FA5">
        <w:rPr>
          <w:rFonts w:asciiTheme="minorHAnsi" w:hAnsiTheme="minorHAnsi"/>
        </w:rPr>
        <w:t xml:space="preserve"> the best-harmonized and documented set of fiscal data for the largest number of countries over the largest number of years.</w:t>
      </w:r>
      <w:r w:rsidR="001E22B6" w:rsidRPr="0027326F">
        <w:rPr>
          <w:rStyle w:val="FootnoteReference"/>
          <w:rFonts w:asciiTheme="minorHAnsi" w:hAnsiTheme="minorHAnsi"/>
        </w:rPr>
        <w:footnoteReference w:id="2"/>
      </w:r>
      <w:r w:rsidR="001E22B6" w:rsidRPr="0027326F">
        <w:rPr>
          <w:rFonts w:asciiTheme="minorHAnsi" w:hAnsiTheme="minorHAnsi"/>
        </w:rPr>
        <w:t xml:space="preserve"> Some </w:t>
      </w:r>
      <w:r w:rsidR="00E112FB" w:rsidRPr="0027326F">
        <w:rPr>
          <w:rFonts w:asciiTheme="minorHAnsi" w:hAnsiTheme="minorHAnsi"/>
        </w:rPr>
        <w:t>serious limitations</w:t>
      </w:r>
      <w:r w:rsidR="001E22B6" w:rsidRPr="0027326F">
        <w:rPr>
          <w:rFonts w:asciiTheme="minorHAnsi" w:hAnsiTheme="minorHAnsi"/>
        </w:rPr>
        <w:t xml:space="preserve"> in hand, parti</w:t>
      </w:r>
      <w:r w:rsidR="00E112FB" w:rsidRPr="0027326F">
        <w:rPr>
          <w:rFonts w:asciiTheme="minorHAnsi" w:hAnsiTheme="minorHAnsi"/>
        </w:rPr>
        <w:t xml:space="preserve">cularly those bearing on non-random </w:t>
      </w:r>
      <w:proofErr w:type="spellStart"/>
      <w:r w:rsidR="00E112FB" w:rsidRPr="0027326F">
        <w:rPr>
          <w:rFonts w:asciiTheme="minorHAnsi" w:hAnsiTheme="minorHAnsi"/>
        </w:rPr>
        <w:t>missing</w:t>
      </w:r>
      <w:r w:rsidR="00E112FB" w:rsidRPr="005C2FA5">
        <w:rPr>
          <w:rFonts w:asciiTheme="minorHAnsi" w:hAnsiTheme="minorHAnsi"/>
        </w:rPr>
        <w:t>ness</w:t>
      </w:r>
      <w:proofErr w:type="spellEnd"/>
      <w:r w:rsidR="00E112FB" w:rsidRPr="005C2FA5">
        <w:rPr>
          <w:rFonts w:asciiTheme="minorHAnsi" w:hAnsiTheme="minorHAnsi"/>
        </w:rPr>
        <w:t xml:space="preserve"> in country coverage</w:t>
      </w:r>
      <w:r w:rsidR="00C0401C" w:rsidRPr="005C2FA5">
        <w:rPr>
          <w:rFonts w:asciiTheme="minorHAnsi" w:hAnsiTheme="minorHAnsi"/>
        </w:rPr>
        <w:t xml:space="preserve"> and difficulties comparing across versions, the GFS</w:t>
      </w:r>
      <w:r w:rsidR="001E22B6" w:rsidRPr="005C2FA5">
        <w:rPr>
          <w:rFonts w:asciiTheme="minorHAnsi" w:hAnsiTheme="minorHAnsi"/>
        </w:rPr>
        <w:t xml:space="preserve"> is an important tool for cross-national work public finance. </w:t>
      </w:r>
    </w:p>
    <w:p w14:paraId="7BB67B98" w14:textId="77777777" w:rsidR="002918F0" w:rsidRPr="001B0636" w:rsidRDefault="00CC5CC6" w:rsidP="007A00B8">
      <w:pPr>
        <w:ind w:firstLine="720"/>
        <w:rPr>
          <w:rFonts w:asciiTheme="minorHAnsi" w:hAnsiTheme="minorHAnsi"/>
        </w:rPr>
      </w:pPr>
      <w:r w:rsidRPr="001B0636">
        <w:rPr>
          <w:rFonts w:asciiTheme="minorHAnsi" w:hAnsiTheme="minorHAnsi"/>
        </w:rPr>
        <w:t>More problematic than the data itself is the way r</w:t>
      </w:r>
      <w:r w:rsidR="002918F0" w:rsidRPr="001B0636">
        <w:rPr>
          <w:rFonts w:asciiTheme="minorHAnsi" w:hAnsiTheme="minorHAnsi"/>
        </w:rPr>
        <w:t>esearchers often</w:t>
      </w:r>
      <w:r w:rsidRPr="001B0636">
        <w:rPr>
          <w:rFonts w:asciiTheme="minorHAnsi" w:hAnsiTheme="minorHAnsi"/>
        </w:rPr>
        <w:t xml:space="preserve"> unreflectively</w:t>
      </w:r>
      <w:r w:rsidR="002918F0" w:rsidRPr="001B0636">
        <w:rPr>
          <w:rFonts w:asciiTheme="minorHAnsi" w:hAnsiTheme="minorHAnsi"/>
        </w:rPr>
        <w:t xml:space="preserve"> assume that IMF budget categories </w:t>
      </w:r>
      <w:r w:rsidRPr="001B0636">
        <w:rPr>
          <w:rFonts w:asciiTheme="minorHAnsi" w:hAnsiTheme="minorHAnsi"/>
        </w:rPr>
        <w:t xml:space="preserve">can be </w:t>
      </w:r>
      <w:r w:rsidR="0099631F" w:rsidRPr="001B0636">
        <w:rPr>
          <w:rFonts w:asciiTheme="minorHAnsi" w:hAnsiTheme="minorHAnsi"/>
        </w:rPr>
        <w:t>identified</w:t>
      </w:r>
      <w:r w:rsidRPr="001B0636">
        <w:rPr>
          <w:rFonts w:asciiTheme="minorHAnsi" w:hAnsiTheme="minorHAnsi"/>
        </w:rPr>
        <w:t xml:space="preserve"> as pro-poor or not. </w:t>
      </w:r>
      <w:r w:rsidR="00D4473F" w:rsidRPr="001B0636">
        <w:rPr>
          <w:rFonts w:asciiTheme="minorHAnsi" w:hAnsiTheme="minorHAnsi"/>
        </w:rPr>
        <w:t xml:space="preserve">In much research, for instance, </w:t>
      </w:r>
      <w:r w:rsidR="002918F0" w:rsidRPr="001B0636">
        <w:rPr>
          <w:rFonts w:asciiTheme="minorHAnsi" w:hAnsiTheme="minorHAnsi"/>
        </w:rPr>
        <w:t>“S</w:t>
      </w:r>
      <w:r w:rsidR="00D4473F" w:rsidRPr="001B0636">
        <w:rPr>
          <w:rFonts w:asciiTheme="minorHAnsi" w:hAnsiTheme="minorHAnsi"/>
        </w:rPr>
        <w:t>ocial Security and Welfare” and “Education” spending, are defined as pro-poor</w:t>
      </w:r>
      <w:r w:rsidR="004B09BB" w:rsidRPr="0027326F">
        <w:rPr>
          <w:rFonts w:asciiTheme="minorHAnsi" w:hAnsiTheme="minorHAnsi"/>
        </w:rPr>
        <w:t>, and consumption taxes are assumed to be regressive</w:t>
      </w:r>
      <w:r w:rsidR="00D4473F" w:rsidRPr="0027326F">
        <w:rPr>
          <w:rFonts w:asciiTheme="minorHAnsi" w:hAnsiTheme="minorHAnsi"/>
        </w:rPr>
        <w:t xml:space="preserve">. </w:t>
      </w:r>
      <w:r w:rsidR="004B09BB" w:rsidRPr="0027326F">
        <w:rPr>
          <w:rFonts w:asciiTheme="minorHAnsi" w:hAnsiTheme="minorHAnsi"/>
        </w:rPr>
        <w:t>To the extent exposure to different types of global markets is correlated with a rise or decline in these budget categories, researchers ma</w:t>
      </w:r>
      <w:r w:rsidR="00557CA0">
        <w:rPr>
          <w:rFonts w:asciiTheme="minorHAnsi" w:hAnsiTheme="minorHAnsi"/>
        </w:rPr>
        <w:t>ke</w:t>
      </w:r>
      <w:r w:rsidR="004B09BB" w:rsidRPr="0027326F">
        <w:rPr>
          <w:rFonts w:asciiTheme="minorHAnsi" w:hAnsiTheme="minorHAnsi"/>
        </w:rPr>
        <w:t xml:space="preserve"> claims on the implications for poverty, inequality and other distributive concepts. </w:t>
      </w:r>
      <w:r w:rsidR="001B0636">
        <w:rPr>
          <w:rFonts w:asciiTheme="minorHAnsi" w:hAnsiTheme="minorHAnsi"/>
        </w:rPr>
        <w:t xml:space="preserve"> </w:t>
      </w:r>
      <w:r w:rsidR="001B0636" w:rsidRPr="001B0636">
        <w:rPr>
          <w:rFonts w:asciiTheme="minorHAnsi" w:hAnsiTheme="minorHAnsi"/>
        </w:rPr>
        <w:t>We are wary of most of the conclusions drawn from such work because it fails to consider the incidence of taxing and spending.</w:t>
      </w:r>
    </w:p>
    <w:p w14:paraId="22B06663" w14:textId="77777777" w:rsidR="00F37D89" w:rsidRPr="0027326F" w:rsidRDefault="00F37D89" w:rsidP="00F37D89">
      <w:pPr>
        <w:rPr>
          <w:rFonts w:asciiTheme="minorHAnsi" w:hAnsiTheme="minorHAnsi"/>
        </w:rPr>
      </w:pPr>
    </w:p>
    <w:p w14:paraId="6454BAA8" w14:textId="77777777" w:rsidR="000D5D63" w:rsidRPr="007A00B8" w:rsidRDefault="0065682C" w:rsidP="000D5D63">
      <w:pPr>
        <w:rPr>
          <w:rFonts w:asciiTheme="minorHAnsi" w:hAnsiTheme="minorHAnsi"/>
        </w:rPr>
      </w:pPr>
      <w:r>
        <w:rPr>
          <w:rFonts w:asciiTheme="minorHAnsi" w:hAnsiTheme="minorHAnsi"/>
        </w:rPr>
        <w:t>Figure 1:  “Social Spending</w:t>
      </w:r>
      <w:proofErr w:type="gramStart"/>
      <w:r>
        <w:rPr>
          <w:rFonts w:asciiTheme="minorHAnsi" w:hAnsiTheme="minorHAnsi"/>
        </w:rPr>
        <w:t xml:space="preserve">, </w:t>
      </w:r>
      <w:r w:rsidR="000D5D63" w:rsidRPr="007A00B8">
        <w:rPr>
          <w:rFonts w:asciiTheme="minorHAnsi" w:hAnsiTheme="minorHAnsi"/>
        </w:rPr>
        <w:t xml:space="preserve"> Fiscal</w:t>
      </w:r>
      <w:proofErr w:type="gramEnd"/>
      <w:r w:rsidR="000D5D63" w:rsidRPr="007A00B8">
        <w:rPr>
          <w:rFonts w:asciiTheme="minorHAnsi" w:hAnsiTheme="minorHAnsi"/>
        </w:rPr>
        <w:t xml:space="preserve"> Redistribution</w:t>
      </w:r>
      <w:r>
        <w:rPr>
          <w:rFonts w:asciiTheme="minorHAnsi" w:hAnsiTheme="minorHAnsi"/>
        </w:rPr>
        <w:t>, and Poverty</w:t>
      </w:r>
      <w:r w:rsidR="000D5D63" w:rsidRPr="007A00B8">
        <w:rPr>
          <w:rFonts w:asciiTheme="minorHAnsi" w:hAnsiTheme="minorHAnsi"/>
        </w:rPr>
        <w:t>”</w:t>
      </w:r>
    </w:p>
    <w:p w14:paraId="21899EF1" w14:textId="77777777" w:rsidR="000D5D63" w:rsidRPr="007A00B8" w:rsidRDefault="000D5D63" w:rsidP="000D5D63">
      <w:pPr>
        <w:rPr>
          <w:rFonts w:asciiTheme="minorHAnsi" w:hAnsiTheme="minorHAnsi"/>
        </w:rPr>
      </w:pPr>
    </w:p>
    <w:p w14:paraId="37A34A36" w14:textId="77777777" w:rsidR="000D5D63" w:rsidRPr="007A00B8" w:rsidRDefault="000D5D63" w:rsidP="000D5D63">
      <w:pPr>
        <w:rPr>
          <w:rFonts w:asciiTheme="minorHAnsi" w:hAnsiTheme="minorHAnsi"/>
        </w:rPr>
      </w:pPr>
    </w:p>
    <w:p w14:paraId="0E62B81C" w14:textId="77777777" w:rsidR="000D5D63" w:rsidRPr="007A00B8" w:rsidRDefault="00FA70D5" w:rsidP="000D5D63">
      <w:pPr>
        <w:rPr>
          <w:rFonts w:asciiTheme="minorHAnsi" w:hAnsiTheme="minorHAnsi"/>
        </w:rPr>
      </w:pPr>
      <w:r w:rsidRPr="0097488C">
        <w:rPr>
          <w:rFonts w:asciiTheme="minorHAnsi" w:hAnsiTheme="minorHAnsi"/>
          <w:noProof/>
        </w:rPr>
        <w:drawing>
          <wp:inline distT="0" distB="0" distL="0" distR="0" wp14:anchorId="4F47D25D" wp14:editId="115E210A">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C3DD060" w14:textId="77777777" w:rsidR="000D5D63" w:rsidRPr="007A00B8" w:rsidRDefault="000D5D63" w:rsidP="000D5D63">
      <w:pPr>
        <w:rPr>
          <w:rFonts w:asciiTheme="minorHAnsi" w:hAnsiTheme="minorHAnsi"/>
        </w:rPr>
      </w:pPr>
    </w:p>
    <w:p w14:paraId="6A6FFAA5" w14:textId="77777777" w:rsidR="00E57183" w:rsidRPr="0027326F" w:rsidRDefault="00E57183" w:rsidP="00F37D89">
      <w:pPr>
        <w:rPr>
          <w:rFonts w:asciiTheme="minorHAnsi" w:hAnsiTheme="minorHAnsi"/>
        </w:rPr>
      </w:pPr>
    </w:p>
    <w:p w14:paraId="64EF6AE0" w14:textId="77777777" w:rsidR="00E57183" w:rsidRPr="0027326F" w:rsidRDefault="00F576D2" w:rsidP="007A00B8">
      <w:pPr>
        <w:ind w:firstLine="720"/>
        <w:rPr>
          <w:rFonts w:asciiTheme="minorHAnsi" w:hAnsiTheme="minorHAnsi"/>
        </w:rPr>
      </w:pPr>
      <w:r w:rsidRPr="0027326F">
        <w:rPr>
          <w:rFonts w:asciiTheme="minorHAnsi" w:hAnsiTheme="minorHAnsi"/>
        </w:rPr>
        <w:t xml:space="preserve">Figure </w:t>
      </w:r>
      <w:r w:rsidR="009A2CB6" w:rsidRPr="0027326F">
        <w:rPr>
          <w:rFonts w:asciiTheme="minorHAnsi" w:hAnsiTheme="minorHAnsi"/>
        </w:rPr>
        <w:t xml:space="preserve">1 </w:t>
      </w:r>
      <w:r w:rsidR="0042421C">
        <w:rPr>
          <w:rFonts w:asciiTheme="minorHAnsi" w:hAnsiTheme="minorHAnsi"/>
        </w:rPr>
        <w:t xml:space="preserve">provides some insight into the importance of considering the incidence of taxing and spending policies. </w:t>
      </w:r>
      <w:r w:rsidR="00BB3632">
        <w:rPr>
          <w:rFonts w:asciiTheme="minorHAnsi" w:hAnsiTheme="minorHAnsi"/>
        </w:rPr>
        <w:t xml:space="preserve">In the left panel we plot the </w:t>
      </w:r>
      <w:r w:rsidRPr="005C2FA5">
        <w:rPr>
          <w:rFonts w:asciiTheme="minorHAnsi" w:hAnsiTheme="minorHAnsi"/>
        </w:rPr>
        <w:t>level of social spending for all available years in 1990-2010 (x axis)</w:t>
      </w:r>
      <w:r w:rsidR="007379AB" w:rsidRPr="0027326F">
        <w:rPr>
          <w:rStyle w:val="FootnoteReference"/>
          <w:rFonts w:asciiTheme="minorHAnsi" w:hAnsiTheme="minorHAnsi"/>
        </w:rPr>
        <w:footnoteReference w:id="3"/>
      </w:r>
      <w:r w:rsidR="00BB3632">
        <w:rPr>
          <w:rFonts w:asciiTheme="minorHAnsi" w:hAnsiTheme="minorHAnsi"/>
        </w:rPr>
        <w:t xml:space="preserve"> against a </w:t>
      </w:r>
      <w:r w:rsidR="0065682C">
        <w:rPr>
          <w:rFonts w:asciiTheme="minorHAnsi" w:hAnsiTheme="minorHAnsi"/>
        </w:rPr>
        <w:t>measure</w:t>
      </w:r>
      <w:r w:rsidRPr="0027326F">
        <w:rPr>
          <w:rFonts w:asciiTheme="minorHAnsi" w:hAnsiTheme="minorHAnsi"/>
        </w:rPr>
        <w:t xml:space="preserve"> of the state’s redistributive incidence</w:t>
      </w:r>
      <w:r w:rsidR="00BB3632">
        <w:rPr>
          <w:rFonts w:asciiTheme="minorHAnsi" w:hAnsiTheme="minorHAnsi"/>
        </w:rPr>
        <w:t xml:space="preserve"> of </w:t>
      </w:r>
      <w:r w:rsidRPr="0027326F">
        <w:rPr>
          <w:rFonts w:asciiTheme="minorHAnsi" w:hAnsiTheme="minorHAnsi"/>
        </w:rPr>
        <w:t>all taxes and transfers</w:t>
      </w:r>
      <w:r w:rsidR="00BB3632">
        <w:rPr>
          <w:rFonts w:asciiTheme="minorHAnsi" w:hAnsiTheme="minorHAnsi"/>
        </w:rPr>
        <w:t xml:space="preserve"> (left-panel)</w:t>
      </w:r>
      <w:r w:rsidR="00BB3632" w:rsidRPr="0027326F">
        <w:rPr>
          <w:rStyle w:val="FootnoteReference"/>
          <w:rFonts w:asciiTheme="minorHAnsi" w:hAnsiTheme="minorHAnsi"/>
        </w:rPr>
        <w:footnoteReference w:id="4"/>
      </w:r>
      <w:r w:rsidRPr="0027326F">
        <w:rPr>
          <w:rFonts w:asciiTheme="minorHAnsi" w:hAnsiTheme="minorHAnsi"/>
        </w:rPr>
        <w:t xml:space="preserve">; in the right panel, </w:t>
      </w:r>
      <w:r w:rsidR="0065682C">
        <w:rPr>
          <w:rFonts w:asciiTheme="minorHAnsi" w:hAnsiTheme="minorHAnsi"/>
        </w:rPr>
        <w:t>we consider the relationship between social spending and the percentage of people below the national poverty line.</w:t>
      </w:r>
      <w:r w:rsidR="00FA70D5">
        <w:rPr>
          <w:rStyle w:val="FootnoteReference"/>
          <w:rFonts w:asciiTheme="minorHAnsi" w:hAnsiTheme="minorHAnsi"/>
        </w:rPr>
        <w:footnoteReference w:id="5"/>
      </w:r>
      <w:r w:rsidRPr="0027326F">
        <w:rPr>
          <w:rFonts w:asciiTheme="minorHAnsi" w:hAnsiTheme="minorHAnsi"/>
        </w:rPr>
        <w:t xml:space="preserve"> </w:t>
      </w:r>
      <w:r w:rsidR="00BB3632">
        <w:rPr>
          <w:rFonts w:asciiTheme="minorHAnsi" w:hAnsiTheme="minorHAnsi"/>
        </w:rPr>
        <w:t>This gives a more direct picture o</w:t>
      </w:r>
      <w:r w:rsidR="00557CA0">
        <w:rPr>
          <w:rFonts w:asciiTheme="minorHAnsi" w:hAnsiTheme="minorHAnsi"/>
        </w:rPr>
        <w:t>f</w:t>
      </w:r>
      <w:r w:rsidR="00BB3632">
        <w:rPr>
          <w:rFonts w:asciiTheme="minorHAnsi" w:hAnsiTheme="minorHAnsi"/>
        </w:rPr>
        <w:t xml:space="preserve"> the connection between budgetary effort and the fortunes of the poor.</w:t>
      </w:r>
    </w:p>
    <w:p w14:paraId="4FE3F289" w14:textId="77777777" w:rsidR="00E57183" w:rsidRPr="0027326F" w:rsidRDefault="00E57183" w:rsidP="00F37D89">
      <w:pPr>
        <w:rPr>
          <w:rFonts w:asciiTheme="minorHAnsi" w:hAnsiTheme="minorHAnsi"/>
        </w:rPr>
      </w:pPr>
    </w:p>
    <w:p w14:paraId="76DC3F78" w14:textId="77777777" w:rsidR="00E57183" w:rsidRDefault="00EF58B5" w:rsidP="00BB3632">
      <w:pPr>
        <w:ind w:firstLine="720"/>
        <w:rPr>
          <w:rFonts w:asciiTheme="minorHAnsi" w:hAnsiTheme="minorHAnsi"/>
        </w:rPr>
      </w:pPr>
      <w:r>
        <w:rPr>
          <w:rFonts w:asciiTheme="minorHAnsi" w:hAnsiTheme="minorHAnsi"/>
        </w:rPr>
        <w:t>F</w:t>
      </w:r>
      <w:r w:rsidR="0036037E" w:rsidRPr="0027326F">
        <w:rPr>
          <w:rFonts w:asciiTheme="minorHAnsi" w:hAnsiTheme="minorHAnsi"/>
        </w:rPr>
        <w:t xml:space="preserve">igure 1 reveals three things.  </w:t>
      </w:r>
      <w:r w:rsidR="00B314C0" w:rsidRPr="0027326F">
        <w:rPr>
          <w:rFonts w:asciiTheme="minorHAnsi" w:hAnsiTheme="minorHAnsi"/>
        </w:rPr>
        <w:t>First, there is a correlation between</w:t>
      </w:r>
      <w:r w:rsidR="00BB3632">
        <w:rPr>
          <w:rFonts w:asciiTheme="minorHAnsi" w:hAnsiTheme="minorHAnsi"/>
        </w:rPr>
        <w:t xml:space="preserve"> the size of spending effort, </w:t>
      </w:r>
      <w:r w:rsidR="007A00B8">
        <w:rPr>
          <w:rFonts w:asciiTheme="minorHAnsi" w:hAnsiTheme="minorHAnsi"/>
        </w:rPr>
        <w:t>reductions in inequality</w:t>
      </w:r>
      <w:r w:rsidR="00BB3632">
        <w:rPr>
          <w:rFonts w:asciiTheme="minorHAnsi" w:hAnsiTheme="minorHAnsi"/>
        </w:rPr>
        <w:t>, and poverty</w:t>
      </w:r>
      <w:r w:rsidR="00B314C0" w:rsidRPr="0027326F">
        <w:rPr>
          <w:rFonts w:asciiTheme="minorHAnsi" w:hAnsiTheme="minorHAnsi"/>
        </w:rPr>
        <w:t>. This captures the fact that budgetary effort is a necessary condition for redistribution towards the poor to take place. Second, the correlation is far from perfect: a</w:t>
      </w:r>
      <w:r w:rsidR="0036037E" w:rsidRPr="0027326F">
        <w:rPr>
          <w:rFonts w:asciiTheme="minorHAnsi" w:hAnsiTheme="minorHAnsi"/>
        </w:rPr>
        <w:t>t both low and high levels of social spending, there is considerable cross-national spread in redistributive incidence (reflecting differences in the progressivity of the design of taxes and transfers)</w:t>
      </w:r>
      <w:r w:rsidR="00BB3632">
        <w:rPr>
          <w:rFonts w:asciiTheme="minorHAnsi" w:hAnsiTheme="minorHAnsi"/>
        </w:rPr>
        <w:t xml:space="preserve"> as well as in poverty</w:t>
      </w:r>
      <w:r w:rsidR="0036037E" w:rsidRPr="0027326F">
        <w:rPr>
          <w:rFonts w:asciiTheme="minorHAnsi" w:hAnsiTheme="minorHAnsi"/>
        </w:rPr>
        <w:t>.</w:t>
      </w:r>
      <w:r w:rsidR="00B314C0" w:rsidRPr="0027326F">
        <w:rPr>
          <w:rFonts w:asciiTheme="minorHAnsi" w:hAnsiTheme="minorHAnsi"/>
        </w:rPr>
        <w:t xml:space="preserve">  Third, the spread </w:t>
      </w:r>
      <w:r w:rsidR="003B6A8A">
        <w:rPr>
          <w:rFonts w:asciiTheme="minorHAnsi" w:hAnsiTheme="minorHAnsi"/>
        </w:rPr>
        <w:t>seems</w:t>
      </w:r>
      <w:r w:rsidR="00B314C0" w:rsidRPr="0027326F">
        <w:rPr>
          <w:rFonts w:asciiTheme="minorHAnsi" w:hAnsiTheme="minorHAnsi"/>
        </w:rPr>
        <w:t xml:space="preserve"> larger as the scope of the effort increases. </w:t>
      </w:r>
      <w:r w:rsidR="001C7BDF">
        <w:rPr>
          <w:rFonts w:asciiTheme="minorHAnsi" w:hAnsiTheme="minorHAnsi"/>
        </w:rPr>
        <w:t xml:space="preserve">While Norway and Spain spend about the same amount, </w:t>
      </w:r>
      <w:r w:rsidR="00405891">
        <w:rPr>
          <w:rFonts w:asciiTheme="minorHAnsi" w:hAnsiTheme="minorHAnsi"/>
        </w:rPr>
        <w:t xml:space="preserve">for instance, that spending does twice as much to reduce inequality in Norway as it does in Spain. </w:t>
      </w:r>
      <w:r w:rsidR="00B314C0" w:rsidRPr="0027326F">
        <w:rPr>
          <w:rFonts w:asciiTheme="minorHAnsi" w:hAnsiTheme="minorHAnsi"/>
        </w:rPr>
        <w:t>Differences in design matter more as the size of the budget grows.</w:t>
      </w:r>
      <w:r w:rsidR="00B6127F" w:rsidRPr="0027326F">
        <w:rPr>
          <w:rFonts w:asciiTheme="minorHAnsi" w:hAnsiTheme="minorHAnsi"/>
        </w:rPr>
        <w:t xml:space="preserve"> </w:t>
      </w:r>
      <w:r w:rsidR="00405891">
        <w:rPr>
          <w:rFonts w:asciiTheme="minorHAnsi" w:hAnsiTheme="minorHAnsi"/>
        </w:rPr>
        <w:t xml:space="preserve">Thus, </w:t>
      </w:r>
      <w:r w:rsidR="00B6127F" w:rsidRPr="0027326F">
        <w:rPr>
          <w:rFonts w:asciiTheme="minorHAnsi" w:hAnsiTheme="minorHAnsi"/>
        </w:rPr>
        <w:t>Figure 1 highlights the importance of two issues for cross-national research on the relationship between globalization and the poor</w:t>
      </w:r>
      <w:r w:rsidR="002D2E6F">
        <w:rPr>
          <w:rFonts w:asciiTheme="minorHAnsi" w:hAnsiTheme="minorHAnsi"/>
        </w:rPr>
        <w:t xml:space="preserve">: </w:t>
      </w:r>
      <w:r w:rsidR="00B6127F" w:rsidRPr="0027326F">
        <w:rPr>
          <w:rFonts w:asciiTheme="minorHAnsi" w:hAnsiTheme="minorHAnsi"/>
        </w:rPr>
        <w:t xml:space="preserve">progressivity and </w:t>
      </w:r>
      <w:r w:rsidR="00507729">
        <w:rPr>
          <w:rFonts w:asciiTheme="minorHAnsi" w:hAnsiTheme="minorHAnsi"/>
        </w:rPr>
        <w:t xml:space="preserve">fiscal </w:t>
      </w:r>
      <w:r w:rsidR="00B6127F" w:rsidRPr="0027326F">
        <w:rPr>
          <w:rFonts w:asciiTheme="minorHAnsi" w:hAnsiTheme="minorHAnsi"/>
        </w:rPr>
        <w:t>capacity.</w:t>
      </w:r>
    </w:p>
    <w:p w14:paraId="7A7BC64B" w14:textId="77777777" w:rsidR="005A3E90" w:rsidRPr="0027326F" w:rsidRDefault="005A3E90" w:rsidP="00BB3632">
      <w:pPr>
        <w:ind w:firstLine="720"/>
        <w:rPr>
          <w:rFonts w:asciiTheme="minorHAnsi" w:hAnsiTheme="minorHAnsi"/>
        </w:rPr>
      </w:pPr>
    </w:p>
    <w:p w14:paraId="79731411" w14:textId="77777777" w:rsidR="00614574" w:rsidRPr="0027326F" w:rsidRDefault="00EC7E8E" w:rsidP="007C5105">
      <w:pPr>
        <w:widowControl w:val="0"/>
        <w:autoSpaceDE w:val="0"/>
        <w:autoSpaceDN w:val="0"/>
        <w:adjustRightInd w:val="0"/>
        <w:ind w:firstLine="720"/>
        <w:rPr>
          <w:rFonts w:asciiTheme="minorHAnsi" w:hAnsiTheme="minorHAnsi"/>
          <w:szCs w:val="22"/>
          <w:lang w:eastAsia="ja-JP"/>
        </w:rPr>
      </w:pPr>
      <w:r w:rsidRPr="0027326F">
        <w:rPr>
          <w:rFonts w:asciiTheme="minorHAnsi" w:hAnsiTheme="minorHAnsi"/>
        </w:rPr>
        <w:t xml:space="preserve">Regarding progressivity, </w:t>
      </w:r>
      <w:r w:rsidR="0085073A" w:rsidRPr="0027326F">
        <w:rPr>
          <w:rFonts w:asciiTheme="minorHAnsi" w:hAnsiTheme="minorHAnsi"/>
        </w:rPr>
        <w:t>Figure</w:t>
      </w:r>
      <w:r w:rsidR="00B95DC9">
        <w:rPr>
          <w:rFonts w:asciiTheme="minorHAnsi" w:hAnsiTheme="minorHAnsi"/>
        </w:rPr>
        <w:t>s</w:t>
      </w:r>
      <w:r w:rsidR="0085073A" w:rsidRPr="0027326F">
        <w:rPr>
          <w:rFonts w:asciiTheme="minorHAnsi" w:hAnsiTheme="minorHAnsi"/>
        </w:rPr>
        <w:t xml:space="preserve"> </w:t>
      </w:r>
      <w:r w:rsidR="00E57183" w:rsidRPr="0027326F">
        <w:rPr>
          <w:rFonts w:asciiTheme="minorHAnsi" w:hAnsiTheme="minorHAnsi"/>
        </w:rPr>
        <w:t>2</w:t>
      </w:r>
      <w:r w:rsidR="00614574" w:rsidRPr="0027326F">
        <w:rPr>
          <w:rFonts w:asciiTheme="minorHAnsi" w:hAnsiTheme="minorHAnsi"/>
        </w:rPr>
        <w:t xml:space="preserve"> and </w:t>
      </w:r>
      <w:r w:rsidR="00B95DC9">
        <w:rPr>
          <w:rFonts w:asciiTheme="minorHAnsi" w:hAnsiTheme="minorHAnsi"/>
        </w:rPr>
        <w:t>3</w:t>
      </w:r>
      <w:r w:rsidR="0085073A" w:rsidRPr="0027326F">
        <w:rPr>
          <w:rFonts w:asciiTheme="minorHAnsi" w:hAnsiTheme="minorHAnsi"/>
        </w:rPr>
        <w:t xml:space="preserve"> below provide </w:t>
      </w:r>
      <w:r w:rsidR="005C4089" w:rsidRPr="0027326F">
        <w:rPr>
          <w:rFonts w:asciiTheme="minorHAnsi" w:hAnsiTheme="minorHAnsi"/>
        </w:rPr>
        <w:t xml:space="preserve">additional, more precise, </w:t>
      </w:r>
      <w:r w:rsidR="0085073A" w:rsidRPr="0027326F">
        <w:rPr>
          <w:rFonts w:asciiTheme="minorHAnsi" w:hAnsiTheme="minorHAnsi"/>
        </w:rPr>
        <w:t xml:space="preserve">evidence that social spending </w:t>
      </w:r>
      <w:r w:rsidR="0049256B">
        <w:rPr>
          <w:rFonts w:asciiTheme="minorHAnsi" w:hAnsiTheme="minorHAnsi"/>
        </w:rPr>
        <w:t>varies</w:t>
      </w:r>
      <w:r w:rsidR="0085073A" w:rsidRPr="0027326F">
        <w:rPr>
          <w:rFonts w:asciiTheme="minorHAnsi" w:hAnsiTheme="minorHAnsi"/>
        </w:rPr>
        <w:t xml:space="preserve"> in its incidence. Since GFS does not provide data on incidence, we have relied on the Luxembourg Income Studies</w:t>
      </w:r>
      <w:r w:rsidR="00A8414A" w:rsidRPr="0027326F">
        <w:rPr>
          <w:rFonts w:asciiTheme="minorHAnsi" w:hAnsiTheme="minorHAnsi"/>
        </w:rPr>
        <w:t xml:space="preserve"> (LIS)</w:t>
      </w:r>
      <w:r w:rsidR="0085073A" w:rsidRPr="0027326F">
        <w:rPr>
          <w:rFonts w:asciiTheme="minorHAnsi" w:hAnsiTheme="minorHAnsi"/>
        </w:rPr>
        <w:t>, which provide</w:t>
      </w:r>
      <w:r w:rsidR="00614574" w:rsidRPr="0027326F">
        <w:rPr>
          <w:rFonts w:asciiTheme="minorHAnsi" w:hAnsiTheme="minorHAnsi"/>
        </w:rPr>
        <w:t xml:space="preserve"> high quality,</w:t>
      </w:r>
      <w:r w:rsidR="0085073A" w:rsidRPr="0027326F">
        <w:rPr>
          <w:rFonts w:asciiTheme="minorHAnsi" w:hAnsiTheme="minorHAnsi"/>
        </w:rPr>
        <w:t xml:space="preserve"> harmonized data on the basis of a common set of income surveys. </w:t>
      </w:r>
      <w:r w:rsidR="00614574" w:rsidRPr="0027326F">
        <w:rPr>
          <w:rFonts w:asciiTheme="minorHAnsi" w:hAnsiTheme="minorHAnsi"/>
          <w:szCs w:val="22"/>
          <w:lang w:eastAsia="ja-JP"/>
        </w:rPr>
        <w:t xml:space="preserve">Though the LIS is widely recognized as the highest quality, cross-national income survey, it has only recently begun to </w:t>
      </w:r>
      <w:r w:rsidR="0049256B">
        <w:rPr>
          <w:rFonts w:asciiTheme="minorHAnsi" w:hAnsiTheme="minorHAnsi"/>
          <w:szCs w:val="22"/>
          <w:lang w:eastAsia="ja-JP"/>
        </w:rPr>
        <w:t>sample</w:t>
      </w:r>
      <w:r w:rsidR="00614574" w:rsidRPr="0027326F">
        <w:rPr>
          <w:rFonts w:asciiTheme="minorHAnsi" w:hAnsiTheme="minorHAnsi"/>
          <w:szCs w:val="22"/>
          <w:lang w:eastAsia="ja-JP"/>
        </w:rPr>
        <w:t xml:space="preserve"> beyond the OECD. As a result, it has very weak coverage across the developing world. The data presented below is from income surveys conducted in the mid-2000s. </w:t>
      </w:r>
    </w:p>
    <w:p w14:paraId="4ED5D4E0" w14:textId="77777777" w:rsidR="00614574" w:rsidRPr="0027326F" w:rsidRDefault="00614574" w:rsidP="00614574">
      <w:pPr>
        <w:widowControl w:val="0"/>
        <w:autoSpaceDE w:val="0"/>
        <w:autoSpaceDN w:val="0"/>
        <w:adjustRightInd w:val="0"/>
        <w:rPr>
          <w:rFonts w:asciiTheme="minorHAnsi" w:hAnsiTheme="minorHAnsi"/>
          <w:szCs w:val="22"/>
          <w:lang w:eastAsia="ja-JP"/>
        </w:rPr>
      </w:pPr>
    </w:p>
    <w:p w14:paraId="7C546339" w14:textId="77777777" w:rsidR="00B95DC9" w:rsidRDefault="00614574" w:rsidP="00614574">
      <w:pPr>
        <w:widowControl w:val="0"/>
        <w:autoSpaceDE w:val="0"/>
        <w:autoSpaceDN w:val="0"/>
        <w:adjustRightInd w:val="0"/>
        <w:jc w:val="center"/>
        <w:rPr>
          <w:rFonts w:asciiTheme="minorHAnsi" w:hAnsiTheme="minorHAnsi"/>
          <w:szCs w:val="22"/>
          <w:lang w:eastAsia="ja-JP"/>
        </w:rPr>
      </w:pPr>
      <w:r w:rsidRPr="0027326F">
        <w:rPr>
          <w:rFonts w:asciiTheme="minorHAnsi" w:hAnsiTheme="minorHAnsi"/>
          <w:szCs w:val="22"/>
          <w:lang w:eastAsia="ja-JP"/>
        </w:rPr>
        <w:t xml:space="preserve">Figure </w:t>
      </w:r>
      <w:r w:rsidR="00E57183" w:rsidRPr="0027326F">
        <w:rPr>
          <w:rFonts w:asciiTheme="minorHAnsi" w:hAnsiTheme="minorHAnsi"/>
          <w:szCs w:val="22"/>
          <w:lang w:eastAsia="ja-JP"/>
        </w:rPr>
        <w:t>2</w:t>
      </w:r>
      <w:r w:rsidR="00B95DC9">
        <w:rPr>
          <w:rFonts w:asciiTheme="minorHAnsi" w:hAnsiTheme="minorHAnsi"/>
          <w:szCs w:val="22"/>
          <w:lang w:eastAsia="ja-JP"/>
        </w:rPr>
        <w:t>:</w:t>
      </w:r>
    </w:p>
    <w:p w14:paraId="4C6F7758" w14:textId="77777777" w:rsidR="00B95DC9" w:rsidRPr="00B95DC9" w:rsidRDefault="00B95DC9" w:rsidP="00B95DC9">
      <w:pPr>
        <w:jc w:val="center"/>
        <w:rPr>
          <w:i/>
        </w:rPr>
      </w:pPr>
      <w:r w:rsidRPr="006B79FA">
        <w:rPr>
          <w:i/>
        </w:rPr>
        <w:t xml:space="preserve">The Distribution of Social </w:t>
      </w:r>
      <w:r>
        <w:rPr>
          <w:i/>
        </w:rPr>
        <w:t xml:space="preserve">Transfers by Income </w:t>
      </w:r>
      <w:proofErr w:type="spellStart"/>
      <w:r>
        <w:rPr>
          <w:i/>
        </w:rPr>
        <w:t>Decile</w:t>
      </w:r>
      <w:proofErr w:type="spellEnd"/>
    </w:p>
    <w:p w14:paraId="6B424BB3" w14:textId="77777777" w:rsidR="00614574" w:rsidRDefault="00B95DC9" w:rsidP="00B95DC9">
      <w:pPr>
        <w:widowControl w:val="0"/>
        <w:autoSpaceDE w:val="0"/>
        <w:autoSpaceDN w:val="0"/>
        <w:adjustRightInd w:val="0"/>
        <w:jc w:val="center"/>
        <w:rPr>
          <w:rFonts w:asciiTheme="minorHAnsi" w:hAnsiTheme="minorHAnsi"/>
          <w:szCs w:val="22"/>
          <w:lang w:eastAsia="ja-JP"/>
        </w:rPr>
      </w:pPr>
      <w:r w:rsidRPr="00BB1460">
        <w:rPr>
          <w:noProof/>
        </w:rPr>
        <w:drawing>
          <wp:inline distT="0" distB="0" distL="0" distR="0" wp14:anchorId="63263BA5" wp14:editId="4CCB1FED">
            <wp:extent cx="5323071" cy="3001444"/>
            <wp:effectExtent l="0" t="0" r="11430" b="0"/>
            <wp:docPr id="50"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heme="minorHAnsi" w:hAnsiTheme="minorHAnsi"/>
          <w:szCs w:val="22"/>
          <w:lang w:eastAsia="ja-JP"/>
        </w:rPr>
        <w:t xml:space="preserve"> </w:t>
      </w:r>
    </w:p>
    <w:p w14:paraId="695EFEF9" w14:textId="77777777" w:rsidR="00B95DC9" w:rsidRPr="0027326F" w:rsidRDefault="00B95DC9" w:rsidP="00B95DC9">
      <w:pPr>
        <w:widowControl w:val="0"/>
        <w:autoSpaceDE w:val="0"/>
        <w:autoSpaceDN w:val="0"/>
        <w:adjustRightInd w:val="0"/>
        <w:jc w:val="center"/>
        <w:rPr>
          <w:rFonts w:asciiTheme="minorHAnsi" w:hAnsiTheme="minorHAnsi"/>
          <w:szCs w:val="22"/>
          <w:lang w:eastAsia="ja-JP"/>
        </w:rPr>
      </w:pPr>
    </w:p>
    <w:p w14:paraId="7C68747D" w14:textId="77777777" w:rsidR="0085073A" w:rsidRPr="0027326F" w:rsidRDefault="00614574" w:rsidP="00614574">
      <w:pPr>
        <w:widowControl w:val="0"/>
        <w:autoSpaceDE w:val="0"/>
        <w:autoSpaceDN w:val="0"/>
        <w:adjustRightInd w:val="0"/>
        <w:rPr>
          <w:rFonts w:asciiTheme="minorHAnsi" w:hAnsiTheme="minorHAnsi"/>
          <w:szCs w:val="22"/>
          <w:lang w:eastAsia="ja-JP"/>
        </w:rPr>
      </w:pPr>
      <w:r w:rsidRPr="0027326F">
        <w:rPr>
          <w:rFonts w:asciiTheme="minorHAnsi" w:hAnsiTheme="minorHAnsi"/>
          <w:szCs w:val="22"/>
          <w:lang w:eastAsia="ja-JP"/>
        </w:rPr>
        <w:t>Figure</w:t>
      </w:r>
      <w:r w:rsidR="00A8414A" w:rsidRPr="0027326F">
        <w:rPr>
          <w:rFonts w:asciiTheme="minorHAnsi" w:hAnsiTheme="minorHAnsi"/>
          <w:szCs w:val="22"/>
          <w:lang w:eastAsia="ja-JP"/>
        </w:rPr>
        <w:t xml:space="preserve"> </w:t>
      </w:r>
      <w:r w:rsidR="00B95DC9">
        <w:rPr>
          <w:rFonts w:asciiTheme="minorHAnsi" w:hAnsiTheme="minorHAnsi"/>
          <w:szCs w:val="22"/>
          <w:lang w:eastAsia="ja-JP"/>
        </w:rPr>
        <w:t>2</w:t>
      </w:r>
      <w:r w:rsidR="00A8414A" w:rsidRPr="0027326F">
        <w:rPr>
          <w:rFonts w:asciiTheme="minorHAnsi" w:hAnsiTheme="minorHAnsi"/>
          <w:szCs w:val="22"/>
          <w:lang w:eastAsia="ja-JP"/>
        </w:rPr>
        <w:t xml:space="preserve"> shows how social transfers are</w:t>
      </w:r>
      <w:r w:rsidRPr="0027326F">
        <w:rPr>
          <w:rFonts w:asciiTheme="minorHAnsi" w:hAnsiTheme="minorHAnsi"/>
          <w:szCs w:val="22"/>
          <w:lang w:eastAsia="ja-JP"/>
        </w:rPr>
        <w:t xml:space="preserve"> distributed across the income d</w:t>
      </w:r>
      <w:r w:rsidR="00A8414A" w:rsidRPr="0027326F">
        <w:rPr>
          <w:rFonts w:asciiTheme="minorHAnsi" w:hAnsiTheme="minorHAnsi"/>
          <w:szCs w:val="22"/>
          <w:lang w:eastAsia="ja-JP"/>
        </w:rPr>
        <w:t>istribution for a set of middle- and upper middle-</w:t>
      </w:r>
      <w:r w:rsidRPr="0027326F">
        <w:rPr>
          <w:rFonts w:asciiTheme="minorHAnsi" w:hAnsiTheme="minorHAnsi"/>
          <w:szCs w:val="22"/>
          <w:lang w:eastAsia="ja-JP"/>
        </w:rPr>
        <w:t xml:space="preserve">income countries in Latin America and Asia. </w:t>
      </w:r>
      <w:r w:rsidR="00405891">
        <w:rPr>
          <w:rFonts w:asciiTheme="minorHAnsi" w:hAnsiTheme="minorHAnsi"/>
          <w:szCs w:val="22"/>
          <w:lang w:eastAsia="ja-JP"/>
        </w:rPr>
        <w:t>We</w:t>
      </w:r>
      <w:r w:rsidRPr="0027326F">
        <w:rPr>
          <w:rFonts w:asciiTheme="minorHAnsi" w:hAnsiTheme="minorHAnsi"/>
          <w:szCs w:val="22"/>
          <w:lang w:eastAsia="ja-JP"/>
        </w:rPr>
        <w:t xml:space="preserve"> also include data for Sweden, the social democratic ideal, as a point of comparison. Figure </w:t>
      </w:r>
      <w:r w:rsidR="00B95DC9">
        <w:rPr>
          <w:rFonts w:asciiTheme="minorHAnsi" w:hAnsiTheme="minorHAnsi"/>
          <w:szCs w:val="22"/>
          <w:lang w:eastAsia="ja-JP"/>
        </w:rPr>
        <w:t>2</w:t>
      </w:r>
      <w:r w:rsidRPr="0027326F">
        <w:rPr>
          <w:rFonts w:asciiTheme="minorHAnsi" w:hAnsiTheme="minorHAnsi"/>
          <w:szCs w:val="22"/>
          <w:lang w:eastAsia="ja-JP"/>
        </w:rPr>
        <w:t xml:space="preserve"> shows the share of total </w:t>
      </w:r>
      <w:r w:rsidR="00A8414A" w:rsidRPr="0027326F">
        <w:rPr>
          <w:rFonts w:asciiTheme="minorHAnsi" w:hAnsiTheme="minorHAnsi"/>
          <w:szCs w:val="22"/>
          <w:lang w:eastAsia="ja-JP"/>
        </w:rPr>
        <w:t>social transfers</w:t>
      </w:r>
      <w:r w:rsidRPr="0027326F">
        <w:rPr>
          <w:rFonts w:asciiTheme="minorHAnsi" w:hAnsiTheme="minorHAnsi"/>
          <w:szCs w:val="22"/>
          <w:lang w:eastAsia="ja-JP"/>
        </w:rPr>
        <w:t xml:space="preserve"> by income </w:t>
      </w:r>
      <w:proofErr w:type="spellStart"/>
      <w:r w:rsidRPr="0027326F">
        <w:rPr>
          <w:rFonts w:asciiTheme="minorHAnsi" w:hAnsiTheme="minorHAnsi"/>
          <w:szCs w:val="22"/>
          <w:lang w:eastAsia="ja-JP"/>
        </w:rPr>
        <w:t>decile</w:t>
      </w:r>
      <w:proofErr w:type="spellEnd"/>
      <w:r w:rsidRPr="0027326F">
        <w:rPr>
          <w:rFonts w:asciiTheme="minorHAnsi" w:hAnsiTheme="minorHAnsi"/>
          <w:szCs w:val="22"/>
          <w:lang w:eastAsia="ja-JP"/>
        </w:rPr>
        <w:t>. When reading this figure it is important to keep in mind that Korea and Taiwan spend much less on social insurance, both as a share of their total budgets and as a share of GDP, than the other cases. That in mind, the figure shows that Sweden spends about 60 percent of its social insurance on the poorest half of the population, and spending falls as the population gets richer. When researchers code the GFS’s “social security and welfare” spe</w:t>
      </w:r>
      <w:r w:rsidR="00A8414A" w:rsidRPr="0027326F">
        <w:rPr>
          <w:rFonts w:asciiTheme="minorHAnsi" w:hAnsiTheme="minorHAnsi"/>
          <w:szCs w:val="22"/>
          <w:lang w:eastAsia="ja-JP"/>
        </w:rPr>
        <w:t>nding category as pro-poor, thi</w:t>
      </w:r>
      <w:r w:rsidRPr="0027326F">
        <w:rPr>
          <w:rFonts w:asciiTheme="minorHAnsi" w:hAnsiTheme="minorHAnsi"/>
          <w:szCs w:val="22"/>
          <w:lang w:eastAsia="ja-JP"/>
        </w:rPr>
        <w:t>s</w:t>
      </w:r>
      <w:r w:rsidR="00A8414A" w:rsidRPr="0027326F">
        <w:rPr>
          <w:rFonts w:asciiTheme="minorHAnsi" w:hAnsiTheme="minorHAnsi"/>
          <w:szCs w:val="22"/>
          <w:lang w:eastAsia="ja-JP"/>
        </w:rPr>
        <w:t xml:space="preserve"> </w:t>
      </w:r>
      <w:r w:rsidRPr="0027326F">
        <w:rPr>
          <w:rFonts w:asciiTheme="minorHAnsi" w:hAnsiTheme="minorHAnsi"/>
          <w:szCs w:val="22"/>
          <w:lang w:eastAsia="ja-JP"/>
        </w:rPr>
        <w:t xml:space="preserve">is what they have in mind. </w:t>
      </w:r>
      <w:r w:rsidR="00A8414A" w:rsidRPr="0027326F">
        <w:rPr>
          <w:rFonts w:asciiTheme="minorHAnsi" w:hAnsiTheme="minorHAnsi"/>
          <w:szCs w:val="22"/>
          <w:lang w:eastAsia="ja-JP"/>
        </w:rPr>
        <w:t>Alas</w:t>
      </w:r>
      <w:r w:rsidRPr="0027326F">
        <w:rPr>
          <w:rFonts w:asciiTheme="minorHAnsi" w:hAnsiTheme="minorHAnsi"/>
          <w:szCs w:val="22"/>
          <w:lang w:eastAsia="ja-JP"/>
        </w:rPr>
        <w:t xml:space="preserve">, the other countries spend their social budgets in much more regressive ways. While the share spent on each </w:t>
      </w:r>
      <w:proofErr w:type="spellStart"/>
      <w:r w:rsidRPr="0027326F">
        <w:rPr>
          <w:rFonts w:asciiTheme="minorHAnsi" w:hAnsiTheme="minorHAnsi"/>
          <w:szCs w:val="22"/>
          <w:lang w:eastAsia="ja-JP"/>
        </w:rPr>
        <w:t>decile</w:t>
      </w:r>
      <w:proofErr w:type="spellEnd"/>
      <w:r w:rsidRPr="0027326F">
        <w:rPr>
          <w:rFonts w:asciiTheme="minorHAnsi" w:hAnsiTheme="minorHAnsi"/>
          <w:szCs w:val="22"/>
          <w:lang w:eastAsia="ja-JP"/>
        </w:rPr>
        <w:t xml:space="preserve"> climbs slowly in Korea, Taiwan’s spending is “U” shaped,</w:t>
      </w:r>
      <w:r w:rsidR="00863431" w:rsidRPr="0027326F">
        <w:rPr>
          <w:rFonts w:asciiTheme="minorHAnsi" w:hAnsiTheme="minorHAnsi"/>
          <w:szCs w:val="22"/>
          <w:lang w:eastAsia="ja-JP"/>
        </w:rPr>
        <w:t xml:space="preserve"> </w:t>
      </w:r>
      <w:r w:rsidRPr="0027326F">
        <w:rPr>
          <w:rFonts w:asciiTheme="minorHAnsi" w:hAnsiTheme="minorHAnsi"/>
          <w:szCs w:val="22"/>
          <w:lang w:eastAsia="ja-JP"/>
        </w:rPr>
        <w:t xml:space="preserve">showing that it is concentrated at the low and very high end of the income distribution. </w:t>
      </w:r>
      <w:r w:rsidR="001B4D2E">
        <w:rPr>
          <w:rFonts w:asciiTheme="minorHAnsi" w:hAnsiTheme="minorHAnsi"/>
          <w:szCs w:val="22"/>
          <w:lang w:eastAsia="ja-JP"/>
        </w:rPr>
        <w:t xml:space="preserve">There </w:t>
      </w:r>
      <w:r w:rsidRPr="0027326F">
        <w:rPr>
          <w:rFonts w:asciiTheme="minorHAnsi" w:hAnsiTheme="minorHAnsi"/>
          <w:szCs w:val="22"/>
          <w:lang w:eastAsia="ja-JP"/>
        </w:rPr>
        <w:t xml:space="preserve">the richest </w:t>
      </w:r>
      <w:proofErr w:type="spellStart"/>
      <w:r w:rsidRPr="0027326F">
        <w:rPr>
          <w:rFonts w:asciiTheme="minorHAnsi" w:hAnsiTheme="minorHAnsi"/>
          <w:szCs w:val="22"/>
          <w:lang w:eastAsia="ja-JP"/>
        </w:rPr>
        <w:t>decile</w:t>
      </w:r>
      <w:proofErr w:type="spellEnd"/>
      <w:r w:rsidRPr="0027326F">
        <w:rPr>
          <w:rFonts w:asciiTheme="minorHAnsi" w:hAnsiTheme="minorHAnsi"/>
          <w:szCs w:val="22"/>
          <w:lang w:eastAsia="ja-JP"/>
        </w:rPr>
        <w:t xml:space="preserve"> receives about 60 percent more of</w:t>
      </w:r>
      <w:r w:rsidR="00863431" w:rsidRPr="0027326F">
        <w:rPr>
          <w:rFonts w:asciiTheme="minorHAnsi" w:hAnsiTheme="minorHAnsi"/>
          <w:szCs w:val="22"/>
          <w:lang w:eastAsia="ja-JP"/>
        </w:rPr>
        <w:t xml:space="preserve"> </w:t>
      </w:r>
      <w:r w:rsidRPr="0027326F">
        <w:rPr>
          <w:rFonts w:asciiTheme="minorHAnsi" w:hAnsiTheme="minorHAnsi"/>
          <w:szCs w:val="22"/>
          <w:lang w:eastAsia="ja-JP"/>
        </w:rPr>
        <w:t xml:space="preserve">total social transfers than the poorest </w:t>
      </w:r>
      <w:proofErr w:type="spellStart"/>
      <w:r w:rsidRPr="0027326F">
        <w:rPr>
          <w:rFonts w:asciiTheme="minorHAnsi" w:hAnsiTheme="minorHAnsi"/>
          <w:szCs w:val="22"/>
          <w:lang w:eastAsia="ja-JP"/>
        </w:rPr>
        <w:t>decile</w:t>
      </w:r>
      <w:proofErr w:type="spellEnd"/>
      <w:r w:rsidRPr="0027326F">
        <w:rPr>
          <w:rFonts w:asciiTheme="minorHAnsi" w:hAnsiTheme="minorHAnsi"/>
          <w:szCs w:val="22"/>
          <w:lang w:eastAsia="ja-JP"/>
        </w:rPr>
        <w:t>,</w:t>
      </w:r>
      <w:r w:rsidR="00863431" w:rsidRPr="0027326F">
        <w:rPr>
          <w:rFonts w:asciiTheme="minorHAnsi" w:hAnsiTheme="minorHAnsi"/>
          <w:szCs w:val="22"/>
          <w:lang w:eastAsia="ja-JP"/>
        </w:rPr>
        <w:t xml:space="preserve"> </w:t>
      </w:r>
      <w:r w:rsidRPr="0027326F">
        <w:rPr>
          <w:rFonts w:asciiTheme="minorHAnsi" w:hAnsiTheme="minorHAnsi"/>
          <w:szCs w:val="22"/>
          <w:lang w:eastAsia="ja-JP"/>
        </w:rPr>
        <w:t>which is directly connected to generous pensions for high-earning positions in a very competitive public</w:t>
      </w:r>
      <w:r w:rsidR="00863431" w:rsidRPr="0027326F">
        <w:rPr>
          <w:rFonts w:asciiTheme="minorHAnsi" w:hAnsiTheme="minorHAnsi"/>
          <w:szCs w:val="22"/>
          <w:lang w:eastAsia="ja-JP"/>
        </w:rPr>
        <w:t xml:space="preserve"> </w:t>
      </w:r>
      <w:r w:rsidR="00A8414A" w:rsidRPr="0027326F">
        <w:rPr>
          <w:rFonts w:asciiTheme="minorHAnsi" w:hAnsiTheme="minorHAnsi"/>
          <w:szCs w:val="22"/>
          <w:lang w:eastAsia="ja-JP"/>
        </w:rPr>
        <w:t>sector. The f</w:t>
      </w:r>
      <w:r w:rsidRPr="0027326F">
        <w:rPr>
          <w:rFonts w:asciiTheme="minorHAnsi" w:hAnsiTheme="minorHAnsi"/>
          <w:szCs w:val="22"/>
          <w:lang w:eastAsia="ja-JP"/>
        </w:rPr>
        <w:t>our Latin America</w:t>
      </w:r>
      <w:r w:rsidR="00A8414A" w:rsidRPr="0027326F">
        <w:rPr>
          <w:rFonts w:asciiTheme="minorHAnsi" w:hAnsiTheme="minorHAnsi"/>
          <w:szCs w:val="22"/>
          <w:lang w:eastAsia="ja-JP"/>
        </w:rPr>
        <w:t>n cases</w:t>
      </w:r>
      <w:r w:rsidRPr="0027326F">
        <w:rPr>
          <w:rFonts w:asciiTheme="minorHAnsi" w:hAnsiTheme="minorHAnsi"/>
          <w:szCs w:val="22"/>
          <w:lang w:eastAsia="ja-JP"/>
        </w:rPr>
        <w:t xml:space="preserve"> display </w:t>
      </w:r>
      <w:r w:rsidR="001B4D2E">
        <w:rPr>
          <w:rFonts w:asciiTheme="minorHAnsi" w:hAnsiTheme="minorHAnsi"/>
          <w:szCs w:val="22"/>
          <w:lang w:eastAsia="ja-JP"/>
        </w:rPr>
        <w:t>even</w:t>
      </w:r>
      <w:r w:rsidR="001B4D2E" w:rsidRPr="0027326F">
        <w:rPr>
          <w:rFonts w:asciiTheme="minorHAnsi" w:hAnsiTheme="minorHAnsi"/>
          <w:szCs w:val="22"/>
          <w:lang w:eastAsia="ja-JP"/>
        </w:rPr>
        <w:t xml:space="preserve"> </w:t>
      </w:r>
      <w:r w:rsidRPr="0027326F">
        <w:rPr>
          <w:rFonts w:asciiTheme="minorHAnsi" w:hAnsiTheme="minorHAnsi"/>
          <w:szCs w:val="22"/>
          <w:lang w:eastAsia="ja-JP"/>
        </w:rPr>
        <w:t>more regressive profiles. In Brazil,</w:t>
      </w:r>
      <w:r w:rsidR="00863431" w:rsidRPr="0027326F">
        <w:rPr>
          <w:rFonts w:asciiTheme="minorHAnsi" w:hAnsiTheme="minorHAnsi"/>
          <w:szCs w:val="22"/>
          <w:lang w:eastAsia="ja-JP"/>
        </w:rPr>
        <w:t xml:space="preserve"> </w:t>
      </w:r>
      <w:r w:rsidRPr="0027326F">
        <w:rPr>
          <w:rFonts w:asciiTheme="minorHAnsi" w:hAnsiTheme="minorHAnsi"/>
          <w:szCs w:val="22"/>
          <w:lang w:eastAsia="ja-JP"/>
        </w:rPr>
        <w:t xml:space="preserve">Colombia, Mexico and Uruguay, the poor receive </w:t>
      </w:r>
      <w:r w:rsidR="007C5105">
        <w:rPr>
          <w:rFonts w:asciiTheme="minorHAnsi" w:hAnsiTheme="minorHAnsi"/>
          <w:szCs w:val="22"/>
          <w:lang w:eastAsia="ja-JP"/>
        </w:rPr>
        <w:t xml:space="preserve">small shares of total </w:t>
      </w:r>
      <w:r w:rsidRPr="0027326F">
        <w:rPr>
          <w:rFonts w:asciiTheme="minorHAnsi" w:hAnsiTheme="minorHAnsi"/>
          <w:szCs w:val="22"/>
          <w:lang w:eastAsia="ja-JP"/>
        </w:rPr>
        <w:t>social</w:t>
      </w:r>
      <w:r w:rsidR="007C5105">
        <w:rPr>
          <w:rFonts w:asciiTheme="minorHAnsi" w:hAnsiTheme="minorHAnsi"/>
          <w:szCs w:val="22"/>
          <w:lang w:eastAsia="ja-JP"/>
        </w:rPr>
        <w:t xml:space="preserve"> transfers.</w:t>
      </w:r>
      <w:r w:rsidRPr="0027326F">
        <w:rPr>
          <w:rFonts w:asciiTheme="minorHAnsi" w:hAnsiTheme="minorHAnsi"/>
          <w:szCs w:val="22"/>
          <w:lang w:eastAsia="ja-JP"/>
        </w:rPr>
        <w:t xml:space="preserve"> The shares slowly climb</w:t>
      </w:r>
      <w:r w:rsidR="00863431" w:rsidRPr="0027326F">
        <w:rPr>
          <w:rFonts w:asciiTheme="minorHAnsi" w:hAnsiTheme="minorHAnsi"/>
          <w:szCs w:val="22"/>
          <w:lang w:eastAsia="ja-JP"/>
        </w:rPr>
        <w:t xml:space="preserve"> </w:t>
      </w:r>
      <w:r w:rsidRPr="0027326F">
        <w:rPr>
          <w:rFonts w:asciiTheme="minorHAnsi" w:hAnsiTheme="minorHAnsi"/>
          <w:szCs w:val="22"/>
          <w:lang w:eastAsia="ja-JP"/>
        </w:rPr>
        <w:t xml:space="preserve">across the income distribution until they spike in the top </w:t>
      </w:r>
      <w:proofErr w:type="spellStart"/>
      <w:r w:rsidRPr="0027326F">
        <w:rPr>
          <w:rFonts w:asciiTheme="minorHAnsi" w:hAnsiTheme="minorHAnsi"/>
          <w:szCs w:val="22"/>
          <w:lang w:eastAsia="ja-JP"/>
        </w:rPr>
        <w:t>decile</w:t>
      </w:r>
      <w:proofErr w:type="spellEnd"/>
      <w:r w:rsidRPr="0027326F">
        <w:rPr>
          <w:rFonts w:asciiTheme="minorHAnsi" w:hAnsiTheme="minorHAnsi"/>
          <w:szCs w:val="22"/>
          <w:lang w:eastAsia="ja-JP"/>
        </w:rPr>
        <w:t xml:space="preserve">. In Brazil, for instance, the top </w:t>
      </w:r>
      <w:proofErr w:type="spellStart"/>
      <w:r w:rsidR="001B4D2E">
        <w:rPr>
          <w:rFonts w:asciiTheme="minorHAnsi" w:hAnsiTheme="minorHAnsi"/>
          <w:szCs w:val="22"/>
          <w:lang w:eastAsia="ja-JP"/>
        </w:rPr>
        <w:t>decile</w:t>
      </w:r>
      <w:proofErr w:type="spellEnd"/>
      <w:r w:rsidR="001B4D2E">
        <w:rPr>
          <w:rFonts w:asciiTheme="minorHAnsi" w:hAnsiTheme="minorHAnsi"/>
          <w:szCs w:val="22"/>
          <w:lang w:eastAsia="ja-JP"/>
        </w:rPr>
        <w:t xml:space="preserve"> </w:t>
      </w:r>
      <w:r w:rsidRPr="0027326F">
        <w:rPr>
          <w:rFonts w:asciiTheme="minorHAnsi" w:hAnsiTheme="minorHAnsi"/>
          <w:szCs w:val="22"/>
          <w:lang w:eastAsia="ja-JP"/>
        </w:rPr>
        <w:t xml:space="preserve">receives </w:t>
      </w:r>
      <w:r w:rsidRPr="0027326F">
        <w:rPr>
          <w:rFonts w:asciiTheme="minorHAnsi" w:hAnsiTheme="minorHAnsi"/>
          <w:b/>
          <w:i/>
          <w:szCs w:val="22"/>
          <w:lang w:eastAsia="ja-JP"/>
        </w:rPr>
        <w:t>38 times</w:t>
      </w:r>
      <w:r w:rsidRPr="0027326F">
        <w:rPr>
          <w:rFonts w:asciiTheme="minorHAnsi" w:hAnsiTheme="minorHAnsi"/>
          <w:szCs w:val="22"/>
          <w:lang w:eastAsia="ja-JP"/>
        </w:rPr>
        <w:t xml:space="preserve"> the share of transfer income as the poorest </w:t>
      </w:r>
      <w:proofErr w:type="spellStart"/>
      <w:r w:rsidR="001B4D2E">
        <w:rPr>
          <w:rFonts w:asciiTheme="minorHAnsi" w:hAnsiTheme="minorHAnsi"/>
          <w:szCs w:val="22"/>
          <w:lang w:eastAsia="ja-JP"/>
        </w:rPr>
        <w:t>decile</w:t>
      </w:r>
      <w:proofErr w:type="spellEnd"/>
      <w:r w:rsidRPr="0027326F">
        <w:rPr>
          <w:rFonts w:asciiTheme="minorHAnsi" w:hAnsiTheme="minorHAnsi"/>
          <w:szCs w:val="22"/>
          <w:lang w:eastAsia="ja-JP"/>
        </w:rPr>
        <w:t>.</w:t>
      </w:r>
      <w:r w:rsidR="00863431" w:rsidRPr="0027326F">
        <w:rPr>
          <w:rFonts w:asciiTheme="minorHAnsi" w:hAnsiTheme="minorHAnsi"/>
          <w:szCs w:val="22"/>
          <w:lang w:eastAsia="ja-JP"/>
        </w:rPr>
        <w:t xml:space="preserve"> This latter finding is particularly striking because the data includes Brazil’s large conditional cash transfer program, </w:t>
      </w:r>
      <w:proofErr w:type="spellStart"/>
      <w:r w:rsidR="00E1555D" w:rsidRPr="0027326F">
        <w:rPr>
          <w:rFonts w:asciiTheme="minorHAnsi" w:hAnsiTheme="minorHAnsi"/>
          <w:szCs w:val="22"/>
          <w:lang w:eastAsia="ja-JP"/>
        </w:rPr>
        <w:t>Bolsa</w:t>
      </w:r>
      <w:proofErr w:type="spellEnd"/>
      <w:r w:rsidR="00E1555D" w:rsidRPr="0027326F">
        <w:rPr>
          <w:rFonts w:asciiTheme="minorHAnsi" w:hAnsiTheme="minorHAnsi"/>
          <w:szCs w:val="22"/>
          <w:lang w:eastAsia="ja-JP"/>
        </w:rPr>
        <w:t xml:space="preserve"> </w:t>
      </w:r>
      <w:proofErr w:type="spellStart"/>
      <w:r w:rsidR="00E1555D" w:rsidRPr="0027326F">
        <w:rPr>
          <w:rFonts w:asciiTheme="minorHAnsi" w:hAnsiTheme="minorHAnsi"/>
          <w:szCs w:val="22"/>
          <w:lang w:eastAsia="ja-JP"/>
        </w:rPr>
        <w:t>Familia</w:t>
      </w:r>
      <w:proofErr w:type="spellEnd"/>
      <w:r w:rsidR="00E1555D" w:rsidRPr="0027326F">
        <w:rPr>
          <w:rFonts w:asciiTheme="minorHAnsi" w:hAnsiTheme="minorHAnsi"/>
          <w:szCs w:val="22"/>
          <w:lang w:eastAsia="ja-JP"/>
        </w:rPr>
        <w:t xml:space="preserve">, </w:t>
      </w:r>
      <w:r w:rsidR="00863431" w:rsidRPr="0027326F">
        <w:rPr>
          <w:rFonts w:asciiTheme="minorHAnsi" w:hAnsiTheme="minorHAnsi"/>
          <w:szCs w:val="22"/>
          <w:lang w:eastAsia="ja-JP"/>
        </w:rPr>
        <w:t>which is targeted at the poor and</w:t>
      </w:r>
      <w:r w:rsidR="00E1555D" w:rsidRPr="0027326F">
        <w:rPr>
          <w:rFonts w:asciiTheme="minorHAnsi" w:hAnsiTheme="minorHAnsi"/>
          <w:szCs w:val="22"/>
          <w:lang w:eastAsia="ja-JP"/>
        </w:rPr>
        <w:t xml:space="preserve"> has done much to alleviate poverty. The overall regressive incidence of social transfers emerges from the simple fact that the social security system in Brazil is huge and hugely </w:t>
      </w:r>
      <w:proofErr w:type="spellStart"/>
      <w:r w:rsidR="00E1555D" w:rsidRPr="0027326F">
        <w:rPr>
          <w:rFonts w:asciiTheme="minorHAnsi" w:hAnsiTheme="minorHAnsi"/>
          <w:szCs w:val="22"/>
          <w:lang w:eastAsia="ja-JP"/>
        </w:rPr>
        <w:t>maldistributive</w:t>
      </w:r>
      <w:proofErr w:type="spellEnd"/>
      <w:r w:rsidR="00E1555D" w:rsidRPr="0027326F">
        <w:rPr>
          <w:rFonts w:asciiTheme="minorHAnsi" w:hAnsiTheme="minorHAnsi"/>
          <w:szCs w:val="22"/>
          <w:lang w:eastAsia="ja-JP"/>
        </w:rPr>
        <w:t xml:space="preserve">.  </w:t>
      </w:r>
    </w:p>
    <w:p w14:paraId="4E49DE0A" w14:textId="77777777" w:rsidR="00863431" w:rsidRDefault="00863431" w:rsidP="00614574">
      <w:pPr>
        <w:widowControl w:val="0"/>
        <w:autoSpaceDE w:val="0"/>
        <w:autoSpaceDN w:val="0"/>
        <w:adjustRightInd w:val="0"/>
        <w:rPr>
          <w:rFonts w:asciiTheme="minorHAnsi" w:hAnsiTheme="minorHAnsi"/>
          <w:szCs w:val="22"/>
          <w:lang w:eastAsia="ja-JP"/>
        </w:rPr>
      </w:pPr>
    </w:p>
    <w:p w14:paraId="02D7FE94" w14:textId="77777777" w:rsidR="00B95DC9" w:rsidRDefault="00B95DC9" w:rsidP="00B95DC9">
      <w:pPr>
        <w:widowControl w:val="0"/>
        <w:autoSpaceDE w:val="0"/>
        <w:autoSpaceDN w:val="0"/>
        <w:adjustRightInd w:val="0"/>
        <w:jc w:val="center"/>
        <w:rPr>
          <w:rFonts w:asciiTheme="minorHAnsi" w:hAnsiTheme="minorHAnsi"/>
          <w:szCs w:val="22"/>
          <w:lang w:eastAsia="ja-JP"/>
        </w:rPr>
      </w:pPr>
      <w:r>
        <w:rPr>
          <w:rFonts w:asciiTheme="minorHAnsi" w:hAnsiTheme="minorHAnsi"/>
          <w:szCs w:val="22"/>
          <w:lang w:eastAsia="ja-JP"/>
        </w:rPr>
        <w:t xml:space="preserve">Figure 3: </w:t>
      </w:r>
    </w:p>
    <w:p w14:paraId="334E182F" w14:textId="77777777" w:rsidR="00B95DC9" w:rsidRDefault="00B95DC9" w:rsidP="00B95DC9">
      <w:pPr>
        <w:widowControl w:val="0"/>
        <w:autoSpaceDE w:val="0"/>
        <w:autoSpaceDN w:val="0"/>
        <w:adjustRightInd w:val="0"/>
        <w:jc w:val="center"/>
        <w:rPr>
          <w:rFonts w:asciiTheme="minorHAnsi" w:hAnsiTheme="minorHAnsi"/>
          <w:szCs w:val="22"/>
          <w:lang w:eastAsia="ja-JP"/>
        </w:rPr>
      </w:pPr>
      <w:r>
        <w:rPr>
          <w:rFonts w:asciiTheme="minorHAnsi" w:hAnsiTheme="minorHAnsi"/>
          <w:szCs w:val="22"/>
          <w:lang w:eastAsia="ja-JP"/>
        </w:rPr>
        <w:t xml:space="preserve">Social Transfers as a Share of Market </w:t>
      </w:r>
      <w:proofErr w:type="gramStart"/>
      <w:r>
        <w:rPr>
          <w:rFonts w:asciiTheme="minorHAnsi" w:hAnsiTheme="minorHAnsi"/>
          <w:szCs w:val="22"/>
          <w:lang w:eastAsia="ja-JP"/>
        </w:rPr>
        <w:t>Income by Income</w:t>
      </w:r>
      <w:proofErr w:type="gramEnd"/>
      <w:r>
        <w:rPr>
          <w:rFonts w:asciiTheme="minorHAnsi" w:hAnsiTheme="minorHAnsi"/>
          <w:szCs w:val="22"/>
          <w:lang w:eastAsia="ja-JP"/>
        </w:rPr>
        <w:t xml:space="preserve"> </w:t>
      </w:r>
      <w:proofErr w:type="spellStart"/>
      <w:r>
        <w:rPr>
          <w:rFonts w:asciiTheme="minorHAnsi" w:hAnsiTheme="minorHAnsi"/>
          <w:szCs w:val="22"/>
          <w:lang w:eastAsia="ja-JP"/>
        </w:rPr>
        <w:t>Decile</w:t>
      </w:r>
      <w:proofErr w:type="spellEnd"/>
    </w:p>
    <w:p w14:paraId="56028131" w14:textId="77777777" w:rsidR="00B95DC9" w:rsidRDefault="00B95DC9" w:rsidP="00B95DC9">
      <w:pPr>
        <w:widowControl w:val="0"/>
        <w:autoSpaceDE w:val="0"/>
        <w:autoSpaceDN w:val="0"/>
        <w:adjustRightInd w:val="0"/>
        <w:jc w:val="center"/>
        <w:rPr>
          <w:rFonts w:asciiTheme="minorHAnsi" w:hAnsiTheme="minorHAnsi"/>
          <w:szCs w:val="22"/>
          <w:lang w:eastAsia="ja-JP"/>
        </w:rPr>
      </w:pPr>
      <w:r w:rsidRPr="008804FA">
        <w:rPr>
          <w:noProof/>
        </w:rPr>
        <w:drawing>
          <wp:inline distT="0" distB="0" distL="0" distR="0" wp14:anchorId="2794B206" wp14:editId="0E7E4B60">
            <wp:extent cx="5208771" cy="3050507"/>
            <wp:effectExtent l="0" t="0" r="0" b="0"/>
            <wp:docPr id="51" name="C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231589" w14:textId="77777777" w:rsidR="00912178" w:rsidRPr="0027326F" w:rsidRDefault="00912178" w:rsidP="00B95DC9">
      <w:pPr>
        <w:widowControl w:val="0"/>
        <w:autoSpaceDE w:val="0"/>
        <w:autoSpaceDN w:val="0"/>
        <w:adjustRightInd w:val="0"/>
        <w:jc w:val="center"/>
        <w:rPr>
          <w:rFonts w:asciiTheme="minorHAnsi" w:hAnsiTheme="minorHAnsi"/>
          <w:szCs w:val="22"/>
          <w:lang w:eastAsia="ja-JP"/>
        </w:rPr>
      </w:pPr>
      <w:r>
        <w:rPr>
          <w:rFonts w:asciiTheme="minorHAnsi" w:hAnsiTheme="minorHAnsi"/>
          <w:szCs w:val="22"/>
          <w:lang w:eastAsia="ja-JP"/>
        </w:rPr>
        <w:t xml:space="preserve">         </w:t>
      </w:r>
    </w:p>
    <w:p w14:paraId="11FDEF5B" w14:textId="77777777" w:rsidR="00863431" w:rsidRPr="0027326F" w:rsidRDefault="00912178" w:rsidP="00863431">
      <w:pPr>
        <w:widowControl w:val="0"/>
        <w:autoSpaceDE w:val="0"/>
        <w:autoSpaceDN w:val="0"/>
        <w:adjustRightInd w:val="0"/>
        <w:rPr>
          <w:rFonts w:asciiTheme="minorHAnsi" w:hAnsiTheme="minorHAnsi"/>
          <w:szCs w:val="22"/>
          <w:lang w:eastAsia="ja-JP"/>
        </w:rPr>
      </w:pPr>
      <w:r>
        <w:rPr>
          <w:rFonts w:asciiTheme="minorHAnsi" w:hAnsiTheme="minorHAnsi"/>
          <w:szCs w:val="22"/>
          <w:lang w:eastAsia="ja-JP"/>
        </w:rPr>
        <w:t xml:space="preserve">       </w:t>
      </w:r>
      <w:r w:rsidR="00863431" w:rsidRPr="0027326F">
        <w:rPr>
          <w:rFonts w:asciiTheme="minorHAnsi" w:hAnsiTheme="minorHAnsi"/>
          <w:szCs w:val="22"/>
          <w:lang w:eastAsia="ja-JP"/>
        </w:rPr>
        <w:t>Figure</w:t>
      </w:r>
      <w:r w:rsidR="00B95DC9">
        <w:rPr>
          <w:rFonts w:asciiTheme="minorHAnsi" w:hAnsiTheme="minorHAnsi"/>
          <w:szCs w:val="22"/>
          <w:lang w:eastAsia="ja-JP"/>
        </w:rPr>
        <w:t xml:space="preserve"> 3</w:t>
      </w:r>
      <w:r w:rsidR="00863431" w:rsidRPr="0027326F">
        <w:rPr>
          <w:rFonts w:asciiTheme="minorHAnsi" w:hAnsiTheme="minorHAnsi"/>
          <w:szCs w:val="22"/>
          <w:lang w:eastAsia="ja-JP"/>
        </w:rPr>
        <w:t xml:space="preserve"> </w:t>
      </w:r>
      <w:r>
        <w:rPr>
          <w:rFonts w:asciiTheme="minorHAnsi" w:hAnsiTheme="minorHAnsi"/>
          <w:szCs w:val="22"/>
          <w:lang w:eastAsia="ja-JP"/>
        </w:rPr>
        <w:t xml:space="preserve">brings budgetary size back into the analysis by reporting </w:t>
      </w:r>
      <w:r w:rsidR="00863431" w:rsidRPr="0027326F">
        <w:rPr>
          <w:rFonts w:asciiTheme="minorHAnsi" w:hAnsiTheme="minorHAnsi"/>
          <w:szCs w:val="22"/>
          <w:lang w:eastAsia="ja-JP"/>
        </w:rPr>
        <w:t xml:space="preserve">transfer income as a share of market </w:t>
      </w:r>
      <w:proofErr w:type="gramStart"/>
      <w:r w:rsidR="00863431" w:rsidRPr="0027326F">
        <w:rPr>
          <w:rFonts w:asciiTheme="minorHAnsi" w:hAnsiTheme="minorHAnsi"/>
          <w:szCs w:val="22"/>
          <w:lang w:eastAsia="ja-JP"/>
        </w:rPr>
        <w:t xml:space="preserve">income by </w:t>
      </w:r>
      <w:r w:rsidR="00A8414A" w:rsidRPr="0027326F">
        <w:rPr>
          <w:rFonts w:asciiTheme="minorHAnsi" w:hAnsiTheme="minorHAnsi"/>
          <w:szCs w:val="22"/>
          <w:lang w:eastAsia="ja-JP"/>
        </w:rPr>
        <w:t>income</w:t>
      </w:r>
      <w:proofErr w:type="gramEnd"/>
      <w:r w:rsidR="00A8414A" w:rsidRPr="0027326F">
        <w:rPr>
          <w:rFonts w:asciiTheme="minorHAnsi" w:hAnsiTheme="minorHAnsi"/>
          <w:szCs w:val="22"/>
          <w:lang w:eastAsia="ja-JP"/>
        </w:rPr>
        <w:t xml:space="preserve"> </w:t>
      </w:r>
      <w:proofErr w:type="spellStart"/>
      <w:r w:rsidR="00863431" w:rsidRPr="0027326F">
        <w:rPr>
          <w:rFonts w:asciiTheme="minorHAnsi" w:hAnsiTheme="minorHAnsi"/>
          <w:szCs w:val="22"/>
          <w:lang w:eastAsia="ja-JP"/>
        </w:rPr>
        <w:t>decile</w:t>
      </w:r>
      <w:proofErr w:type="spellEnd"/>
      <w:r w:rsidR="00863431" w:rsidRPr="0027326F">
        <w:rPr>
          <w:rFonts w:asciiTheme="minorHAnsi" w:hAnsiTheme="minorHAnsi"/>
          <w:szCs w:val="22"/>
          <w:lang w:eastAsia="ja-JP"/>
        </w:rPr>
        <w:t xml:space="preserve"> for the same set of cases. Again, the Swedish case stands out</w:t>
      </w:r>
      <w:r>
        <w:rPr>
          <w:rFonts w:asciiTheme="minorHAnsi" w:hAnsiTheme="minorHAnsi"/>
          <w:szCs w:val="22"/>
          <w:lang w:eastAsia="ja-JP"/>
        </w:rPr>
        <w:t xml:space="preserve"> as the most progressive</w:t>
      </w:r>
      <w:r w:rsidR="00863431" w:rsidRPr="0027326F">
        <w:rPr>
          <w:rFonts w:asciiTheme="minorHAnsi" w:hAnsiTheme="minorHAnsi"/>
          <w:szCs w:val="22"/>
          <w:lang w:eastAsia="ja-JP"/>
        </w:rPr>
        <w:t xml:space="preserve">. For individuals in the poorest </w:t>
      </w:r>
      <w:proofErr w:type="spellStart"/>
      <w:r w:rsidR="00863431" w:rsidRPr="0027326F">
        <w:rPr>
          <w:rFonts w:asciiTheme="minorHAnsi" w:hAnsiTheme="minorHAnsi"/>
          <w:szCs w:val="22"/>
          <w:lang w:eastAsia="ja-JP"/>
        </w:rPr>
        <w:t>decile</w:t>
      </w:r>
      <w:proofErr w:type="spellEnd"/>
      <w:r w:rsidR="00863431" w:rsidRPr="0027326F">
        <w:rPr>
          <w:rFonts w:asciiTheme="minorHAnsi" w:hAnsiTheme="minorHAnsi"/>
          <w:szCs w:val="22"/>
          <w:lang w:eastAsia="ja-JP"/>
        </w:rPr>
        <w:t xml:space="preserve">, social transfers are nearly three times their market income; for individuals in the top </w:t>
      </w:r>
      <w:proofErr w:type="spellStart"/>
      <w:r w:rsidR="00863431" w:rsidRPr="0027326F">
        <w:rPr>
          <w:rFonts w:asciiTheme="minorHAnsi" w:hAnsiTheme="minorHAnsi"/>
          <w:szCs w:val="22"/>
          <w:lang w:eastAsia="ja-JP"/>
        </w:rPr>
        <w:t>decile</w:t>
      </w:r>
      <w:proofErr w:type="spellEnd"/>
      <w:r w:rsidR="00863431" w:rsidRPr="0027326F">
        <w:rPr>
          <w:rFonts w:asciiTheme="minorHAnsi" w:hAnsiTheme="minorHAnsi"/>
          <w:szCs w:val="22"/>
          <w:lang w:eastAsia="ja-JP"/>
        </w:rPr>
        <w:t xml:space="preserve">, social </w:t>
      </w:r>
      <w:proofErr w:type="gramStart"/>
      <w:r w:rsidR="00863431" w:rsidRPr="0027326F">
        <w:rPr>
          <w:rFonts w:asciiTheme="minorHAnsi" w:hAnsiTheme="minorHAnsi"/>
          <w:szCs w:val="22"/>
          <w:lang w:eastAsia="ja-JP"/>
        </w:rPr>
        <w:t>transfers</w:t>
      </w:r>
      <w:proofErr w:type="gramEnd"/>
      <w:r w:rsidR="00863431" w:rsidRPr="0027326F">
        <w:rPr>
          <w:rFonts w:asciiTheme="minorHAnsi" w:hAnsiTheme="minorHAnsi"/>
          <w:szCs w:val="22"/>
          <w:lang w:eastAsia="ja-JP"/>
        </w:rPr>
        <w:t xml:space="preserve"> are </w:t>
      </w:r>
      <w:proofErr w:type="gramStart"/>
      <w:r w:rsidR="00863431" w:rsidRPr="0027326F">
        <w:rPr>
          <w:rFonts w:asciiTheme="minorHAnsi" w:hAnsiTheme="minorHAnsi"/>
          <w:szCs w:val="22"/>
          <w:lang w:eastAsia="ja-JP"/>
        </w:rPr>
        <w:t>a tiny share of their market income</w:t>
      </w:r>
      <w:proofErr w:type="gramEnd"/>
      <w:r w:rsidR="00863431" w:rsidRPr="0027326F">
        <w:rPr>
          <w:rFonts w:asciiTheme="minorHAnsi" w:hAnsiTheme="minorHAnsi"/>
          <w:szCs w:val="22"/>
          <w:lang w:eastAsia="ja-JP"/>
        </w:rPr>
        <w:t xml:space="preserve">. The Korean and Taiwanese cases evince the same downward sloping curve, but because they spend so much less on transfers, they make up a much smaller share of the poor’s income. Again, the </w:t>
      </w:r>
      <w:r w:rsidR="00E1555D" w:rsidRPr="0027326F">
        <w:rPr>
          <w:rFonts w:asciiTheme="minorHAnsi" w:hAnsiTheme="minorHAnsi"/>
          <w:szCs w:val="22"/>
          <w:lang w:eastAsia="ja-JP"/>
        </w:rPr>
        <w:t>Latin American</w:t>
      </w:r>
      <w:r w:rsidR="00863431" w:rsidRPr="0027326F">
        <w:rPr>
          <w:rFonts w:asciiTheme="minorHAnsi" w:hAnsiTheme="minorHAnsi"/>
          <w:szCs w:val="22"/>
          <w:lang w:eastAsia="ja-JP"/>
        </w:rPr>
        <w:t xml:space="preserve"> cases </w:t>
      </w:r>
      <w:r w:rsidR="00E1555D" w:rsidRPr="0027326F">
        <w:rPr>
          <w:rFonts w:asciiTheme="minorHAnsi" w:hAnsiTheme="minorHAnsi"/>
          <w:szCs w:val="22"/>
          <w:lang w:eastAsia="ja-JP"/>
        </w:rPr>
        <w:t xml:space="preserve">evince distinctively regressive </w:t>
      </w:r>
      <w:r w:rsidR="00863431" w:rsidRPr="0027326F">
        <w:rPr>
          <w:rFonts w:asciiTheme="minorHAnsi" w:hAnsiTheme="minorHAnsi"/>
          <w:szCs w:val="22"/>
          <w:lang w:eastAsia="ja-JP"/>
        </w:rPr>
        <w:t>social effort. In all four cases, the curves are basically flat, which indicates that social transfers make up</w:t>
      </w:r>
      <w:r w:rsidR="00E1555D" w:rsidRPr="0027326F">
        <w:rPr>
          <w:rFonts w:asciiTheme="minorHAnsi" w:hAnsiTheme="minorHAnsi"/>
          <w:szCs w:val="22"/>
          <w:lang w:eastAsia="ja-JP"/>
        </w:rPr>
        <w:t xml:space="preserve"> about the same share of income </w:t>
      </w:r>
      <w:r w:rsidR="00863431" w:rsidRPr="0027326F">
        <w:rPr>
          <w:rFonts w:asciiTheme="minorHAnsi" w:hAnsiTheme="minorHAnsi"/>
          <w:szCs w:val="22"/>
          <w:lang w:eastAsia="ja-JP"/>
        </w:rPr>
        <w:t>for the rich as they do for the poor. Given that the rich have considerably higher</w:t>
      </w:r>
      <w:r w:rsidR="00E1555D" w:rsidRPr="0027326F">
        <w:rPr>
          <w:rFonts w:asciiTheme="minorHAnsi" w:hAnsiTheme="minorHAnsi"/>
          <w:szCs w:val="22"/>
          <w:lang w:eastAsia="ja-JP"/>
        </w:rPr>
        <w:t xml:space="preserve"> market incomes </w:t>
      </w:r>
      <w:r w:rsidR="00863431" w:rsidRPr="0027326F">
        <w:rPr>
          <w:rFonts w:asciiTheme="minorHAnsi" w:hAnsiTheme="minorHAnsi"/>
          <w:szCs w:val="22"/>
          <w:lang w:eastAsia="ja-JP"/>
        </w:rPr>
        <w:t>than the poor, this implies that most transfer spending is actually being targeted at the</w:t>
      </w:r>
      <w:r w:rsidR="00E1555D" w:rsidRPr="0027326F">
        <w:rPr>
          <w:rFonts w:asciiTheme="minorHAnsi" w:hAnsiTheme="minorHAnsi"/>
          <w:szCs w:val="22"/>
          <w:lang w:eastAsia="ja-JP"/>
        </w:rPr>
        <w:t xml:space="preserve"> </w:t>
      </w:r>
      <w:r w:rsidR="00863431" w:rsidRPr="0027326F">
        <w:rPr>
          <w:rFonts w:asciiTheme="minorHAnsi" w:hAnsiTheme="minorHAnsi"/>
          <w:szCs w:val="22"/>
          <w:lang w:eastAsia="ja-JP"/>
        </w:rPr>
        <w:t>rich, which is exact</w:t>
      </w:r>
      <w:r w:rsidR="00E1555D" w:rsidRPr="0027326F">
        <w:rPr>
          <w:rFonts w:asciiTheme="minorHAnsi" w:hAnsiTheme="minorHAnsi"/>
          <w:szCs w:val="22"/>
          <w:lang w:eastAsia="ja-JP"/>
        </w:rPr>
        <w:t>ly what we saw above in Figure 1</w:t>
      </w:r>
      <w:r w:rsidR="00863431" w:rsidRPr="0027326F">
        <w:rPr>
          <w:rFonts w:asciiTheme="minorHAnsi" w:hAnsiTheme="minorHAnsi"/>
          <w:szCs w:val="22"/>
          <w:lang w:eastAsia="ja-JP"/>
        </w:rPr>
        <w:t>a.</w:t>
      </w:r>
    </w:p>
    <w:p w14:paraId="55D42D94" w14:textId="77777777" w:rsidR="0085073A" w:rsidRPr="0027326F" w:rsidRDefault="0085073A" w:rsidP="00F37D89">
      <w:pPr>
        <w:rPr>
          <w:rFonts w:asciiTheme="minorHAnsi" w:hAnsiTheme="minorHAnsi"/>
        </w:rPr>
      </w:pPr>
    </w:p>
    <w:p w14:paraId="47E57775" w14:textId="77777777" w:rsidR="00043EA6" w:rsidRPr="0027326F" w:rsidRDefault="00EF58B5" w:rsidP="00F37D89">
      <w:pPr>
        <w:rPr>
          <w:rFonts w:asciiTheme="minorHAnsi" w:hAnsiTheme="minorHAnsi"/>
        </w:rPr>
      </w:pPr>
      <w:r>
        <w:rPr>
          <w:rFonts w:asciiTheme="minorHAnsi" w:hAnsiTheme="minorHAnsi"/>
        </w:rPr>
        <w:t>Overall, our analysis suggests that</w:t>
      </w:r>
      <w:r w:rsidR="00A8414A" w:rsidRPr="0027326F">
        <w:rPr>
          <w:rFonts w:asciiTheme="minorHAnsi" w:hAnsiTheme="minorHAnsi"/>
        </w:rPr>
        <w:t xml:space="preserve"> the GFS’</w:t>
      </w:r>
      <w:r w:rsidR="00D4473F" w:rsidRPr="0027326F">
        <w:rPr>
          <w:rFonts w:asciiTheme="minorHAnsi" w:hAnsiTheme="minorHAnsi"/>
        </w:rPr>
        <w:t xml:space="preserve"> broad budget categories do not provide the foundation for generalizing about the impact of globalization on the progressivity or </w:t>
      </w:r>
      <w:proofErr w:type="spellStart"/>
      <w:r w:rsidR="00D4473F" w:rsidRPr="0027326F">
        <w:rPr>
          <w:rFonts w:asciiTheme="minorHAnsi" w:hAnsiTheme="minorHAnsi"/>
        </w:rPr>
        <w:t>regressivity</w:t>
      </w:r>
      <w:proofErr w:type="spellEnd"/>
      <w:r w:rsidR="00D4473F" w:rsidRPr="0027326F">
        <w:rPr>
          <w:rFonts w:asciiTheme="minorHAnsi" w:hAnsiTheme="minorHAnsi"/>
        </w:rPr>
        <w:t xml:space="preserve"> of public finances.</w:t>
      </w:r>
      <w:r w:rsidR="00485AC7" w:rsidRPr="0027326F">
        <w:rPr>
          <w:rFonts w:asciiTheme="minorHAnsi" w:hAnsiTheme="minorHAnsi"/>
        </w:rPr>
        <w:t xml:space="preserve"> It is incorrect, for instance, to suggest that any globalization-induced reduction in the GFS’s “social security</w:t>
      </w:r>
      <w:r w:rsidR="009C1CBD" w:rsidRPr="0027326F">
        <w:rPr>
          <w:rFonts w:asciiTheme="minorHAnsi" w:hAnsiTheme="minorHAnsi"/>
        </w:rPr>
        <w:t xml:space="preserve"> and welfare” spending would be bad for the poor. Indeed, in a country like Brazil a reduction in the size of the social security system would almost certainly be good for the poor.</w:t>
      </w:r>
      <w:r w:rsidR="00D4473F" w:rsidRPr="0027326F">
        <w:rPr>
          <w:rFonts w:asciiTheme="minorHAnsi" w:hAnsiTheme="minorHAnsi"/>
        </w:rPr>
        <w:t xml:space="preserve"> </w:t>
      </w:r>
      <w:r w:rsidR="009C1CBD" w:rsidRPr="0027326F">
        <w:rPr>
          <w:rFonts w:asciiTheme="minorHAnsi" w:hAnsiTheme="minorHAnsi"/>
        </w:rPr>
        <w:t xml:space="preserve">Rather than making untenable assumptions about the distributive implications of broad budget categories in GFS, research should </w:t>
      </w:r>
      <w:r w:rsidR="00043EA6" w:rsidRPr="0027326F">
        <w:rPr>
          <w:rFonts w:asciiTheme="minorHAnsi" w:hAnsiTheme="minorHAnsi"/>
        </w:rPr>
        <w:t xml:space="preserve">consider the actual incidence of taxes and transfers. </w:t>
      </w:r>
    </w:p>
    <w:p w14:paraId="4924A489" w14:textId="77777777" w:rsidR="00043EA6" w:rsidRPr="0027326F" w:rsidRDefault="00043EA6" w:rsidP="00F37D89">
      <w:pPr>
        <w:rPr>
          <w:rFonts w:asciiTheme="minorHAnsi" w:hAnsiTheme="minorHAnsi"/>
        </w:rPr>
      </w:pPr>
    </w:p>
    <w:p w14:paraId="1DC8FE3A" w14:textId="77777777" w:rsidR="00F37D89" w:rsidRPr="0027326F" w:rsidRDefault="00F37D89" w:rsidP="00F37D89">
      <w:pPr>
        <w:rPr>
          <w:rFonts w:asciiTheme="minorHAnsi" w:hAnsiTheme="minorHAnsi"/>
        </w:rPr>
      </w:pPr>
      <w:r w:rsidRPr="0027326F">
        <w:rPr>
          <w:rFonts w:asciiTheme="minorHAnsi" w:hAnsiTheme="minorHAnsi"/>
          <w:i/>
        </w:rPr>
        <w:t xml:space="preserve">2. </w:t>
      </w:r>
      <w:r w:rsidR="0042421C">
        <w:rPr>
          <w:rFonts w:asciiTheme="minorHAnsi" w:hAnsiTheme="minorHAnsi"/>
          <w:i/>
        </w:rPr>
        <w:t>Fiscal</w:t>
      </w:r>
      <w:r w:rsidR="00E57183" w:rsidRPr="0027326F">
        <w:rPr>
          <w:rFonts w:asciiTheme="minorHAnsi" w:hAnsiTheme="minorHAnsi"/>
          <w:i/>
        </w:rPr>
        <w:t xml:space="preserve"> Capacity and Tax</w:t>
      </w:r>
      <w:r w:rsidRPr="0027326F">
        <w:rPr>
          <w:rFonts w:asciiTheme="minorHAnsi" w:hAnsiTheme="minorHAnsi"/>
          <w:i/>
        </w:rPr>
        <w:t xml:space="preserve"> Expenditures</w:t>
      </w:r>
    </w:p>
    <w:p w14:paraId="42CDC479" w14:textId="77777777" w:rsidR="008E1D36" w:rsidRPr="0027326F" w:rsidRDefault="008E1D36" w:rsidP="00F37D89">
      <w:pPr>
        <w:rPr>
          <w:rFonts w:asciiTheme="minorHAnsi" w:hAnsiTheme="minorHAnsi"/>
        </w:rPr>
      </w:pPr>
    </w:p>
    <w:p w14:paraId="6AF721C8" w14:textId="77777777" w:rsidR="00B46CF7" w:rsidRPr="0027326F" w:rsidRDefault="00292490" w:rsidP="00F37D89">
      <w:pPr>
        <w:rPr>
          <w:rFonts w:asciiTheme="minorHAnsi" w:hAnsiTheme="minorHAnsi"/>
        </w:rPr>
      </w:pPr>
      <w:r w:rsidRPr="0027326F">
        <w:rPr>
          <w:rFonts w:asciiTheme="minorHAnsi" w:hAnsiTheme="minorHAnsi"/>
        </w:rPr>
        <w:t xml:space="preserve">         </w:t>
      </w:r>
      <w:r w:rsidR="00677CC5" w:rsidRPr="0027326F">
        <w:rPr>
          <w:rFonts w:asciiTheme="minorHAnsi" w:hAnsiTheme="minorHAnsi"/>
        </w:rPr>
        <w:t xml:space="preserve">A second major issue </w:t>
      </w:r>
      <w:r w:rsidR="00EF58B5">
        <w:rPr>
          <w:rFonts w:asciiTheme="minorHAnsi" w:hAnsiTheme="minorHAnsi"/>
        </w:rPr>
        <w:t>concerns the state’s ability to deal with globalization</w:t>
      </w:r>
      <w:r w:rsidR="00677CC5" w:rsidRPr="0027326F">
        <w:rPr>
          <w:rFonts w:asciiTheme="minorHAnsi" w:hAnsiTheme="minorHAnsi"/>
        </w:rPr>
        <w:t xml:space="preserve">.  Figure </w:t>
      </w:r>
      <w:r w:rsidR="00405891">
        <w:rPr>
          <w:rFonts w:asciiTheme="minorHAnsi" w:hAnsiTheme="minorHAnsi"/>
        </w:rPr>
        <w:t>4</w:t>
      </w:r>
      <w:r w:rsidR="00677CC5" w:rsidRPr="0027326F">
        <w:rPr>
          <w:rFonts w:asciiTheme="minorHAnsi" w:hAnsiTheme="minorHAnsi"/>
        </w:rPr>
        <w:t xml:space="preserve"> shows the relationship between the strength of the tax bureaucracy</w:t>
      </w:r>
      <w:r w:rsidR="007379AB" w:rsidRPr="0027326F">
        <w:rPr>
          <w:rStyle w:val="FootnoteReference"/>
          <w:rFonts w:asciiTheme="minorHAnsi" w:hAnsiTheme="minorHAnsi"/>
        </w:rPr>
        <w:footnoteReference w:id="6"/>
      </w:r>
      <w:r w:rsidR="00677CC5" w:rsidRPr="0027326F">
        <w:rPr>
          <w:rFonts w:asciiTheme="minorHAnsi" w:hAnsiTheme="minorHAnsi"/>
        </w:rPr>
        <w:t xml:space="preserve"> and the amount of revenue generated (left panel)</w:t>
      </w:r>
      <w:r w:rsidR="0086357B" w:rsidRPr="0027326F">
        <w:rPr>
          <w:rStyle w:val="FootnoteReference"/>
          <w:rFonts w:asciiTheme="minorHAnsi" w:hAnsiTheme="minorHAnsi"/>
        </w:rPr>
        <w:footnoteReference w:id="7"/>
      </w:r>
      <w:r w:rsidR="00677CC5" w:rsidRPr="0027326F">
        <w:rPr>
          <w:rFonts w:asciiTheme="minorHAnsi" w:hAnsiTheme="minorHAnsi"/>
        </w:rPr>
        <w:t xml:space="preserve"> and between the lat</w:t>
      </w:r>
      <w:r w:rsidR="004B4818" w:rsidRPr="005C2FA5">
        <w:rPr>
          <w:rFonts w:asciiTheme="minorHAnsi" w:hAnsiTheme="minorHAnsi"/>
        </w:rPr>
        <w:t>t</w:t>
      </w:r>
      <w:r w:rsidR="00677CC5" w:rsidRPr="001B0636">
        <w:rPr>
          <w:rFonts w:asciiTheme="minorHAnsi" w:hAnsiTheme="minorHAnsi"/>
        </w:rPr>
        <w:t>er</w:t>
      </w:r>
      <w:r w:rsidR="004B4818" w:rsidRPr="001B0636">
        <w:rPr>
          <w:rFonts w:asciiTheme="minorHAnsi" w:hAnsiTheme="minorHAnsi"/>
        </w:rPr>
        <w:t xml:space="preserve"> and the redistributive incidence on non-pension social transfers. </w:t>
      </w:r>
    </w:p>
    <w:p w14:paraId="25D7EEF8" w14:textId="77777777" w:rsidR="00B46CF7" w:rsidRPr="0027326F" w:rsidRDefault="00B46CF7" w:rsidP="00F37D89">
      <w:pPr>
        <w:rPr>
          <w:rFonts w:asciiTheme="minorHAnsi" w:hAnsiTheme="minorHAnsi"/>
        </w:rPr>
      </w:pPr>
    </w:p>
    <w:p w14:paraId="67F75691" w14:textId="77777777" w:rsidR="00B46CF7" w:rsidRPr="0027326F" w:rsidRDefault="00B46CF7" w:rsidP="00F37D89">
      <w:pPr>
        <w:rPr>
          <w:rFonts w:asciiTheme="minorHAnsi" w:hAnsiTheme="minorHAnsi"/>
        </w:rPr>
      </w:pPr>
      <w:r w:rsidRPr="0027326F">
        <w:rPr>
          <w:rFonts w:asciiTheme="minorHAnsi" w:hAnsiTheme="minorHAnsi"/>
        </w:rPr>
        <w:t xml:space="preserve">Figure </w:t>
      </w:r>
      <w:r w:rsidR="00405891">
        <w:rPr>
          <w:rFonts w:asciiTheme="minorHAnsi" w:hAnsiTheme="minorHAnsi"/>
        </w:rPr>
        <w:t>4</w:t>
      </w:r>
      <w:r w:rsidRPr="0027326F">
        <w:rPr>
          <w:rFonts w:asciiTheme="minorHAnsi" w:hAnsiTheme="minorHAnsi"/>
        </w:rPr>
        <w:t>: “</w:t>
      </w:r>
      <w:r w:rsidR="0042421C">
        <w:rPr>
          <w:rFonts w:asciiTheme="minorHAnsi" w:hAnsiTheme="minorHAnsi"/>
        </w:rPr>
        <w:t xml:space="preserve">Fiscal </w:t>
      </w:r>
      <w:r w:rsidRPr="0027326F">
        <w:rPr>
          <w:rFonts w:asciiTheme="minorHAnsi" w:hAnsiTheme="minorHAnsi"/>
        </w:rPr>
        <w:t>Capacity and Incidence”</w:t>
      </w:r>
    </w:p>
    <w:p w14:paraId="16C0D48A" w14:textId="77777777" w:rsidR="00B46CF7" w:rsidRPr="0027326F" w:rsidRDefault="00B46CF7" w:rsidP="00F37D89">
      <w:pPr>
        <w:rPr>
          <w:rFonts w:asciiTheme="minorHAnsi" w:hAnsiTheme="minorHAnsi"/>
        </w:rPr>
      </w:pPr>
    </w:p>
    <w:p w14:paraId="7EA68021" w14:textId="77777777" w:rsidR="00B46CF7" w:rsidRPr="0027326F" w:rsidRDefault="003C3EFF" w:rsidP="00F37D89">
      <w:pPr>
        <w:rPr>
          <w:rFonts w:asciiTheme="minorHAnsi" w:hAnsiTheme="minorHAnsi"/>
        </w:rPr>
      </w:pPr>
      <w:r w:rsidRPr="00B95DC9">
        <w:rPr>
          <w:rFonts w:asciiTheme="minorHAnsi" w:hAnsiTheme="minorHAnsi"/>
          <w:noProof/>
        </w:rPr>
        <w:drawing>
          <wp:inline distT="0" distB="0" distL="0" distR="0" wp14:anchorId="1E1E6863" wp14:editId="0F974E86">
            <wp:extent cx="5034280" cy="36576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280" cy="3657600"/>
                    </a:xfrm>
                    <a:prstGeom prst="rect">
                      <a:avLst/>
                    </a:prstGeom>
                    <a:noFill/>
                    <a:ln>
                      <a:noFill/>
                    </a:ln>
                  </pic:spPr>
                </pic:pic>
              </a:graphicData>
            </a:graphic>
          </wp:inline>
        </w:drawing>
      </w:r>
    </w:p>
    <w:p w14:paraId="548E7590" w14:textId="77777777" w:rsidR="005B5776" w:rsidRPr="005C2FA5" w:rsidRDefault="005B5776" w:rsidP="00F37D89">
      <w:pPr>
        <w:rPr>
          <w:rFonts w:asciiTheme="minorHAnsi" w:hAnsiTheme="minorHAnsi"/>
        </w:rPr>
      </w:pPr>
    </w:p>
    <w:p w14:paraId="7840EDA6" w14:textId="77777777" w:rsidR="005B5776" w:rsidRPr="001B0636" w:rsidRDefault="005B5776" w:rsidP="00F37D89">
      <w:pPr>
        <w:rPr>
          <w:rFonts w:asciiTheme="minorHAnsi" w:hAnsiTheme="minorHAnsi"/>
        </w:rPr>
      </w:pPr>
    </w:p>
    <w:p w14:paraId="6DE9FF6D" w14:textId="77777777" w:rsidR="00B46CF7" w:rsidRDefault="006E33F7" w:rsidP="009C1AE1">
      <w:pPr>
        <w:ind w:firstLine="720"/>
        <w:rPr>
          <w:rFonts w:asciiTheme="minorHAnsi" w:hAnsiTheme="minorHAnsi"/>
        </w:rPr>
      </w:pPr>
      <w:r w:rsidRPr="0027326F">
        <w:rPr>
          <w:rFonts w:asciiTheme="minorHAnsi" w:hAnsiTheme="minorHAnsi"/>
        </w:rPr>
        <w:t>Countries with legacies of low state capacity, such as India</w:t>
      </w:r>
      <w:r w:rsidR="009C1AE1">
        <w:rPr>
          <w:rFonts w:asciiTheme="minorHAnsi" w:hAnsiTheme="minorHAnsi"/>
        </w:rPr>
        <w:t xml:space="preserve"> or</w:t>
      </w:r>
      <w:r w:rsidRPr="0027326F">
        <w:rPr>
          <w:rFonts w:asciiTheme="minorHAnsi" w:hAnsiTheme="minorHAnsi"/>
        </w:rPr>
        <w:t xml:space="preserve"> Peru, </w:t>
      </w:r>
      <w:r w:rsidR="00EF58B5">
        <w:rPr>
          <w:rFonts w:asciiTheme="minorHAnsi" w:hAnsiTheme="minorHAnsi"/>
        </w:rPr>
        <w:t xml:space="preserve">cannot </w:t>
      </w:r>
      <w:r w:rsidRPr="0027326F">
        <w:rPr>
          <w:rFonts w:asciiTheme="minorHAnsi" w:hAnsiTheme="minorHAnsi"/>
        </w:rPr>
        <w:t xml:space="preserve">generate </w:t>
      </w:r>
      <w:r w:rsidR="0042421C">
        <w:rPr>
          <w:rFonts w:asciiTheme="minorHAnsi" w:hAnsiTheme="minorHAnsi"/>
        </w:rPr>
        <w:t xml:space="preserve">significant </w:t>
      </w:r>
      <w:r w:rsidRPr="0027326F">
        <w:rPr>
          <w:rFonts w:asciiTheme="minorHAnsi" w:hAnsiTheme="minorHAnsi"/>
        </w:rPr>
        <w:t>resources to</w:t>
      </w:r>
      <w:r w:rsidR="0042421C">
        <w:rPr>
          <w:rFonts w:asciiTheme="minorHAnsi" w:hAnsiTheme="minorHAnsi"/>
        </w:rPr>
        <w:t xml:space="preserve"> redistribute via </w:t>
      </w:r>
      <w:r w:rsidRPr="0027326F">
        <w:rPr>
          <w:rFonts w:asciiTheme="minorHAnsi" w:hAnsiTheme="minorHAnsi"/>
        </w:rPr>
        <w:t>pro-poor polic</w:t>
      </w:r>
      <w:r w:rsidR="0042421C">
        <w:rPr>
          <w:rFonts w:asciiTheme="minorHAnsi" w:hAnsiTheme="minorHAnsi"/>
        </w:rPr>
        <w:t>ies simply because they have such weak fiscal capacity</w:t>
      </w:r>
      <w:r w:rsidRPr="0027326F">
        <w:rPr>
          <w:rFonts w:asciiTheme="minorHAnsi" w:hAnsiTheme="minorHAnsi"/>
        </w:rPr>
        <w:t xml:space="preserve">. Under those conditions, </w:t>
      </w:r>
      <w:r w:rsidR="009C1AE1">
        <w:rPr>
          <w:rFonts w:asciiTheme="minorHAnsi" w:hAnsiTheme="minorHAnsi"/>
        </w:rPr>
        <w:t xml:space="preserve">any impact of </w:t>
      </w:r>
      <w:r w:rsidRPr="0027326F">
        <w:rPr>
          <w:rFonts w:asciiTheme="minorHAnsi" w:hAnsiTheme="minorHAnsi"/>
        </w:rPr>
        <w:t xml:space="preserve">globalization </w:t>
      </w:r>
      <w:r w:rsidR="009C1AE1">
        <w:rPr>
          <w:rFonts w:asciiTheme="minorHAnsi" w:hAnsiTheme="minorHAnsi"/>
        </w:rPr>
        <w:t xml:space="preserve">on the poor via public finances </w:t>
      </w:r>
      <w:r w:rsidRPr="0027326F">
        <w:rPr>
          <w:rFonts w:asciiTheme="minorHAnsi" w:hAnsiTheme="minorHAnsi"/>
        </w:rPr>
        <w:t xml:space="preserve">is likely to </w:t>
      </w:r>
      <w:r w:rsidR="009C1AE1">
        <w:rPr>
          <w:rFonts w:asciiTheme="minorHAnsi" w:hAnsiTheme="minorHAnsi"/>
        </w:rPr>
        <w:t xml:space="preserve">be quite </w:t>
      </w:r>
      <w:r w:rsidRPr="0027326F">
        <w:rPr>
          <w:rFonts w:asciiTheme="minorHAnsi" w:hAnsiTheme="minorHAnsi"/>
        </w:rPr>
        <w:t xml:space="preserve">marginal </w:t>
      </w:r>
      <w:r w:rsidR="009C1AE1">
        <w:rPr>
          <w:rFonts w:asciiTheme="minorHAnsi" w:hAnsiTheme="minorHAnsi"/>
        </w:rPr>
        <w:t>since fiscal capacity is so anemic.</w:t>
      </w:r>
      <w:r w:rsidRPr="0027326F">
        <w:rPr>
          <w:rFonts w:asciiTheme="minorHAnsi" w:hAnsiTheme="minorHAnsi"/>
        </w:rPr>
        <w:t xml:space="preserve"> </w:t>
      </w:r>
      <w:r w:rsidR="00CD0EB1" w:rsidRPr="0027326F">
        <w:rPr>
          <w:rFonts w:asciiTheme="minorHAnsi" w:hAnsiTheme="minorHAnsi"/>
        </w:rPr>
        <w:t>At the other end, i</w:t>
      </w:r>
      <w:r w:rsidRPr="0027326F">
        <w:rPr>
          <w:rFonts w:asciiTheme="minorHAnsi" w:hAnsiTheme="minorHAnsi"/>
        </w:rPr>
        <w:t xml:space="preserve">n rich, open </w:t>
      </w:r>
      <w:r w:rsidR="00C86B2B">
        <w:rPr>
          <w:rFonts w:asciiTheme="minorHAnsi" w:hAnsiTheme="minorHAnsi"/>
        </w:rPr>
        <w:t>economies</w:t>
      </w:r>
      <w:r w:rsidRPr="0027326F">
        <w:rPr>
          <w:rFonts w:asciiTheme="minorHAnsi" w:hAnsiTheme="minorHAnsi"/>
        </w:rPr>
        <w:t xml:space="preserve">, globalization is unlikely to </w:t>
      </w:r>
      <w:r w:rsidR="00C86B2B">
        <w:rPr>
          <w:rFonts w:asciiTheme="minorHAnsi" w:hAnsiTheme="minorHAnsi"/>
        </w:rPr>
        <w:t xml:space="preserve">reduce </w:t>
      </w:r>
      <w:r w:rsidR="00CD0EB1" w:rsidRPr="0027326F">
        <w:rPr>
          <w:rFonts w:asciiTheme="minorHAnsi" w:hAnsiTheme="minorHAnsi"/>
        </w:rPr>
        <w:t>the redistributive</w:t>
      </w:r>
      <w:r w:rsidR="00887D30">
        <w:rPr>
          <w:rFonts w:asciiTheme="minorHAnsi" w:hAnsiTheme="minorHAnsi"/>
        </w:rPr>
        <w:t xml:space="preserve"> scope of the state. M</w:t>
      </w:r>
      <w:r w:rsidR="00CD0EB1" w:rsidRPr="0027326F">
        <w:rPr>
          <w:rFonts w:asciiTheme="minorHAnsi" w:hAnsiTheme="minorHAnsi"/>
        </w:rPr>
        <w:t>any of these societies develop</w:t>
      </w:r>
      <w:r w:rsidR="00C86B2B">
        <w:rPr>
          <w:rFonts w:asciiTheme="minorHAnsi" w:hAnsiTheme="minorHAnsi"/>
        </w:rPr>
        <w:t>ed</w:t>
      </w:r>
      <w:r w:rsidR="00CD0EB1" w:rsidRPr="0027326F">
        <w:rPr>
          <w:rFonts w:asciiTheme="minorHAnsi" w:hAnsiTheme="minorHAnsi"/>
        </w:rPr>
        <w:t xml:space="preserve"> redistributive welfare states and trade-oriented growth strategies concurrently</w:t>
      </w:r>
      <w:r w:rsidR="00887D30">
        <w:rPr>
          <w:rFonts w:asciiTheme="minorHAnsi" w:hAnsiTheme="minorHAnsi"/>
        </w:rPr>
        <w:t xml:space="preserve">, so exposure to external competition does not come as a shock </w:t>
      </w:r>
      <w:r w:rsidR="00C86B2B">
        <w:rPr>
          <w:rFonts w:asciiTheme="minorHAnsi" w:hAnsiTheme="minorHAnsi"/>
        </w:rPr>
        <w:t xml:space="preserve">to </w:t>
      </w:r>
      <w:r w:rsidR="00887D30">
        <w:rPr>
          <w:rFonts w:asciiTheme="minorHAnsi" w:hAnsiTheme="minorHAnsi"/>
        </w:rPr>
        <w:t xml:space="preserve">prior distributive </w:t>
      </w:r>
      <w:proofErr w:type="spellStart"/>
      <w:r w:rsidR="00887D30">
        <w:rPr>
          <w:rFonts w:asciiTheme="minorHAnsi" w:hAnsiTheme="minorHAnsi"/>
        </w:rPr>
        <w:t>equilibria</w:t>
      </w:r>
      <w:proofErr w:type="spellEnd"/>
      <w:r w:rsidR="00CD0EB1" w:rsidRPr="0027326F">
        <w:rPr>
          <w:rFonts w:asciiTheme="minorHAnsi" w:hAnsiTheme="minorHAnsi"/>
        </w:rPr>
        <w:t xml:space="preserve">. More interesting is the case of countries with intermediate levels of capacity (Spain, Greece) and revenues (the USA).  In these cases, much of the </w:t>
      </w:r>
      <w:r w:rsidR="00C86B2B">
        <w:rPr>
          <w:rFonts w:asciiTheme="minorHAnsi" w:hAnsiTheme="minorHAnsi"/>
        </w:rPr>
        <w:t>redistribution</w:t>
      </w:r>
      <w:r w:rsidR="00CD0EB1" w:rsidRPr="0027326F">
        <w:rPr>
          <w:rFonts w:asciiTheme="minorHAnsi" w:hAnsiTheme="minorHAnsi"/>
        </w:rPr>
        <w:t xml:space="preserve"> take</w:t>
      </w:r>
      <w:r w:rsidR="009C1AE1">
        <w:rPr>
          <w:rFonts w:asciiTheme="minorHAnsi" w:hAnsiTheme="minorHAnsi"/>
        </w:rPr>
        <w:t>s</w:t>
      </w:r>
      <w:r w:rsidR="00CD0EB1" w:rsidRPr="0027326F">
        <w:rPr>
          <w:rFonts w:asciiTheme="minorHAnsi" w:hAnsiTheme="minorHAnsi"/>
        </w:rPr>
        <w:t xml:space="preserve"> the form of tax expenditures.</w:t>
      </w:r>
    </w:p>
    <w:p w14:paraId="44F8D7D5" w14:textId="77777777" w:rsidR="00EF58B5" w:rsidRPr="0027326F" w:rsidRDefault="00EF58B5" w:rsidP="009C1AE1">
      <w:pPr>
        <w:ind w:firstLine="720"/>
        <w:rPr>
          <w:rFonts w:asciiTheme="minorHAnsi" w:hAnsiTheme="minorHAnsi"/>
        </w:rPr>
      </w:pPr>
    </w:p>
    <w:p w14:paraId="197CDB20" w14:textId="77777777" w:rsidR="00717B32" w:rsidRDefault="005A5A00" w:rsidP="00F37D89">
      <w:pPr>
        <w:rPr>
          <w:rFonts w:asciiTheme="minorHAnsi" w:hAnsiTheme="minorHAnsi"/>
        </w:rPr>
      </w:pPr>
      <w:r>
        <w:rPr>
          <w:rFonts w:asciiTheme="minorHAnsi" w:hAnsiTheme="minorHAnsi"/>
        </w:rPr>
        <w:tab/>
      </w:r>
      <w:r w:rsidR="00717B32" w:rsidRPr="0027326F">
        <w:rPr>
          <w:rFonts w:asciiTheme="minorHAnsi" w:hAnsiTheme="minorHAnsi"/>
        </w:rPr>
        <w:t xml:space="preserve">Tax expenditures are abatements; they are taxes that the government agrees to </w:t>
      </w:r>
      <w:r w:rsidR="00717B32" w:rsidRPr="0027326F">
        <w:rPr>
          <w:rFonts w:asciiTheme="minorHAnsi" w:hAnsiTheme="minorHAnsi"/>
          <w:i/>
        </w:rPr>
        <w:t>not</w:t>
      </w:r>
      <w:r w:rsidR="00717B32" w:rsidRPr="0027326F">
        <w:rPr>
          <w:rFonts w:asciiTheme="minorHAnsi" w:hAnsiTheme="minorHAnsi"/>
        </w:rPr>
        <w:t xml:space="preserve"> collect. Imagine </w:t>
      </w:r>
      <w:r w:rsidR="000E0953" w:rsidRPr="0027326F">
        <w:rPr>
          <w:rFonts w:asciiTheme="minorHAnsi" w:hAnsiTheme="minorHAnsi"/>
        </w:rPr>
        <w:t>that a government wants to build a $10 million bridge</w:t>
      </w:r>
      <w:r w:rsidR="00717B32" w:rsidRPr="0027326F">
        <w:rPr>
          <w:rFonts w:asciiTheme="minorHAnsi" w:hAnsiTheme="minorHAnsi"/>
        </w:rPr>
        <w:t>.</w:t>
      </w:r>
      <w:r w:rsidR="000E0953" w:rsidRPr="0027326F">
        <w:rPr>
          <w:rFonts w:asciiTheme="minorHAnsi" w:hAnsiTheme="minorHAnsi"/>
        </w:rPr>
        <w:t xml:space="preserve"> It can collect the revenues, budget the bridge as a capital expenditure, and contract with a firm to construct it. Alternatively, the government can avoid the budgetary process entirely by “paying” the contractor with a $10 million tax credit. Holding the </w:t>
      </w:r>
      <w:r>
        <w:rPr>
          <w:rFonts w:asciiTheme="minorHAnsi" w:hAnsiTheme="minorHAnsi"/>
        </w:rPr>
        <w:t xml:space="preserve">tax </w:t>
      </w:r>
      <w:r w:rsidR="000E0953" w:rsidRPr="0027326F">
        <w:rPr>
          <w:rFonts w:asciiTheme="minorHAnsi" w:hAnsiTheme="minorHAnsi"/>
        </w:rPr>
        <w:t xml:space="preserve">treatment of revenue and deferred taxation constant, the contractor is indifferent between these two mechanisms. </w:t>
      </w:r>
      <w:r w:rsidR="00072BAD" w:rsidRPr="0027326F">
        <w:rPr>
          <w:rFonts w:asciiTheme="minorHAnsi" w:hAnsiTheme="minorHAnsi"/>
        </w:rPr>
        <w:t>The government might prefer the tax expenditure to the public budgeting since it is subject to less negotiation, transparency and oversight, even if the sums involved are the same. Citizens, of cours</w:t>
      </w:r>
      <w:r w:rsidR="00C01882" w:rsidRPr="0027326F">
        <w:rPr>
          <w:rFonts w:asciiTheme="minorHAnsi" w:hAnsiTheme="minorHAnsi"/>
        </w:rPr>
        <w:t>e, might be concerned with the</w:t>
      </w:r>
      <w:r w:rsidR="0097413C">
        <w:rPr>
          <w:rFonts w:asciiTheme="minorHAnsi" w:hAnsiTheme="minorHAnsi"/>
        </w:rPr>
        <w:t xml:space="preserve"> impact of the</w:t>
      </w:r>
      <w:r w:rsidR="00C01882" w:rsidRPr="0027326F">
        <w:rPr>
          <w:rFonts w:asciiTheme="minorHAnsi" w:hAnsiTheme="minorHAnsi"/>
        </w:rPr>
        <w:t xml:space="preserve"> foregone revenues implied by the tax expenditure</w:t>
      </w:r>
      <w:r w:rsidR="0097413C">
        <w:rPr>
          <w:rFonts w:asciiTheme="minorHAnsi" w:hAnsiTheme="minorHAnsi"/>
        </w:rPr>
        <w:t xml:space="preserve"> on</w:t>
      </w:r>
      <w:r w:rsidR="00C01882" w:rsidRPr="0027326F">
        <w:rPr>
          <w:rFonts w:asciiTheme="minorHAnsi" w:hAnsiTheme="minorHAnsi"/>
        </w:rPr>
        <w:t xml:space="preserve"> the government</w:t>
      </w:r>
      <w:r w:rsidR="0097413C">
        <w:rPr>
          <w:rFonts w:asciiTheme="minorHAnsi" w:hAnsiTheme="minorHAnsi"/>
        </w:rPr>
        <w:t>’s capacity</w:t>
      </w:r>
      <w:r w:rsidR="00C01882" w:rsidRPr="0027326F">
        <w:rPr>
          <w:rFonts w:asciiTheme="minorHAnsi" w:hAnsiTheme="minorHAnsi"/>
        </w:rPr>
        <w:t xml:space="preserve"> to spend on education, health and poverty relief. </w:t>
      </w:r>
    </w:p>
    <w:p w14:paraId="65EF1ECF" w14:textId="77777777" w:rsidR="00EF58B5" w:rsidRPr="0027326F" w:rsidRDefault="00EF58B5" w:rsidP="00F37D89">
      <w:pPr>
        <w:rPr>
          <w:rFonts w:asciiTheme="minorHAnsi" w:hAnsiTheme="minorHAnsi"/>
        </w:rPr>
      </w:pPr>
    </w:p>
    <w:p w14:paraId="217DD048" w14:textId="77777777" w:rsidR="00072BAD" w:rsidRPr="0027326F" w:rsidRDefault="005A5A00" w:rsidP="00F37D89">
      <w:pPr>
        <w:rPr>
          <w:rFonts w:asciiTheme="minorHAnsi" w:hAnsiTheme="minorHAnsi"/>
        </w:rPr>
      </w:pPr>
      <w:r>
        <w:rPr>
          <w:rFonts w:asciiTheme="minorHAnsi" w:hAnsiTheme="minorHAnsi"/>
        </w:rPr>
        <w:tab/>
      </w:r>
      <w:r w:rsidR="00C01882" w:rsidRPr="0027326F">
        <w:rPr>
          <w:rFonts w:asciiTheme="minorHAnsi" w:hAnsiTheme="minorHAnsi"/>
        </w:rPr>
        <w:t>One</w:t>
      </w:r>
      <w:r w:rsidR="000E0953" w:rsidRPr="0027326F">
        <w:rPr>
          <w:rFonts w:asciiTheme="minorHAnsi" w:hAnsiTheme="minorHAnsi"/>
        </w:rPr>
        <w:t xml:space="preserve"> crucial difference between traditional</w:t>
      </w:r>
      <w:r w:rsidR="0019797C" w:rsidRPr="0027326F">
        <w:rPr>
          <w:rFonts w:asciiTheme="minorHAnsi" w:hAnsiTheme="minorHAnsi"/>
        </w:rPr>
        <w:t xml:space="preserve"> budgeting and tax expenditures</w:t>
      </w:r>
      <w:r w:rsidR="0097413C">
        <w:rPr>
          <w:rFonts w:asciiTheme="minorHAnsi" w:hAnsiTheme="minorHAnsi"/>
        </w:rPr>
        <w:t xml:space="preserve"> is</w:t>
      </w:r>
      <w:r w:rsidR="0019797C" w:rsidRPr="0027326F">
        <w:rPr>
          <w:rFonts w:asciiTheme="minorHAnsi" w:hAnsiTheme="minorHAnsi"/>
        </w:rPr>
        <w:t xml:space="preserve"> that </w:t>
      </w:r>
      <w:r w:rsidR="000E0953" w:rsidRPr="0027326F">
        <w:rPr>
          <w:rFonts w:asciiTheme="minorHAnsi" w:hAnsiTheme="minorHAnsi"/>
        </w:rPr>
        <w:t xml:space="preserve">the latter are entirely invisible </w:t>
      </w:r>
      <w:r w:rsidR="0097413C">
        <w:rPr>
          <w:rFonts w:asciiTheme="minorHAnsi" w:hAnsiTheme="minorHAnsi"/>
        </w:rPr>
        <w:t>in traditional</w:t>
      </w:r>
      <w:r w:rsidR="0019797C" w:rsidRPr="0027326F">
        <w:rPr>
          <w:rFonts w:asciiTheme="minorHAnsi" w:hAnsiTheme="minorHAnsi"/>
        </w:rPr>
        <w:t xml:space="preserve"> </w:t>
      </w:r>
      <w:r w:rsidR="00CD5C5C" w:rsidRPr="0027326F">
        <w:rPr>
          <w:rFonts w:asciiTheme="minorHAnsi" w:hAnsiTheme="minorHAnsi"/>
        </w:rPr>
        <w:t xml:space="preserve">data on public finances. Indeed, there is no systematic data on tax expenditures beyond the OECD, and even there the data is spotty. This makes it difficult </w:t>
      </w:r>
      <w:r w:rsidR="00AB20F6">
        <w:rPr>
          <w:rFonts w:asciiTheme="minorHAnsi" w:hAnsiTheme="minorHAnsi"/>
        </w:rPr>
        <w:t xml:space="preserve">for analysts and citizens alike </w:t>
      </w:r>
      <w:r w:rsidR="00CD5C5C" w:rsidRPr="0027326F">
        <w:rPr>
          <w:rFonts w:asciiTheme="minorHAnsi" w:hAnsiTheme="minorHAnsi"/>
        </w:rPr>
        <w:t xml:space="preserve">to assess the incidence of public finance. </w:t>
      </w:r>
      <w:r w:rsidR="00292490" w:rsidRPr="0027326F">
        <w:rPr>
          <w:rFonts w:asciiTheme="minorHAnsi" w:hAnsiTheme="minorHAnsi"/>
        </w:rPr>
        <w:t>Indeed</w:t>
      </w:r>
      <w:r>
        <w:rPr>
          <w:rFonts w:asciiTheme="minorHAnsi" w:hAnsiTheme="minorHAnsi"/>
        </w:rPr>
        <w:t>,</w:t>
      </w:r>
      <w:r w:rsidR="00292490" w:rsidRPr="0027326F">
        <w:rPr>
          <w:rFonts w:asciiTheme="minorHAnsi" w:hAnsiTheme="minorHAnsi"/>
        </w:rPr>
        <w:t xml:space="preserve"> available and necessarily superficial evidence suggests that among rich democracies, those who rely the most on tax expenditures are the ones with more unequal distributive outcomes.  Table 1 presents some evidence on the basis of the 2009 OECD report on Tax Expenditures</w:t>
      </w:r>
      <w:r w:rsidR="00192D4F" w:rsidRPr="0027326F">
        <w:rPr>
          <w:rFonts w:asciiTheme="minorHAnsi" w:hAnsiTheme="minorHAnsi"/>
        </w:rPr>
        <w:t xml:space="preserve"> and the LIS Inequality and Poverty Database</w:t>
      </w:r>
      <w:r w:rsidR="00292490" w:rsidRPr="0027326F">
        <w:rPr>
          <w:rFonts w:asciiTheme="minorHAnsi" w:hAnsiTheme="minorHAnsi"/>
        </w:rPr>
        <w:t xml:space="preserve">. </w:t>
      </w:r>
      <w:r w:rsidR="008A635B" w:rsidRPr="0027326F">
        <w:rPr>
          <w:rFonts w:asciiTheme="minorHAnsi" w:hAnsiTheme="minorHAnsi"/>
        </w:rPr>
        <w:t xml:space="preserve"> The first column reports the size of income tax expenditures as a percentage of GDP; the second and third column, as a percentage of income tax and total tax revenues. Finally, the last column displays the share of population below 50% of the median disposable income. </w:t>
      </w:r>
    </w:p>
    <w:p w14:paraId="72AC0EE7" w14:textId="77777777" w:rsidR="00072BAD" w:rsidRPr="0027326F" w:rsidRDefault="00072BAD" w:rsidP="00F37D89">
      <w:pPr>
        <w:rPr>
          <w:rFonts w:asciiTheme="minorHAnsi" w:hAnsiTheme="minorHAnsi"/>
        </w:rPr>
      </w:pPr>
    </w:p>
    <w:p w14:paraId="4DC4AF53" w14:textId="77777777" w:rsidR="000E28E9" w:rsidRPr="0027326F" w:rsidRDefault="00192D4F" w:rsidP="00F37D89">
      <w:pPr>
        <w:rPr>
          <w:rFonts w:asciiTheme="minorHAnsi" w:hAnsiTheme="minorHAnsi"/>
          <w:i/>
        </w:rPr>
      </w:pPr>
      <w:r w:rsidRPr="0027326F">
        <w:rPr>
          <w:rFonts w:asciiTheme="minorHAnsi" w:hAnsiTheme="minorHAnsi"/>
          <w:i/>
        </w:rPr>
        <w:t>Table 1: Tax Expenditures and Poverty</w:t>
      </w:r>
    </w:p>
    <w:tbl>
      <w:tblPr>
        <w:tblW w:w="8459" w:type="dxa"/>
        <w:tblInd w:w="93" w:type="dxa"/>
        <w:tblLook w:val="04A0" w:firstRow="1" w:lastRow="0" w:firstColumn="1" w:lastColumn="0" w:noHBand="0" w:noVBand="1"/>
      </w:tblPr>
      <w:tblGrid>
        <w:gridCol w:w="2299"/>
        <w:gridCol w:w="1380"/>
        <w:gridCol w:w="1380"/>
        <w:gridCol w:w="1380"/>
        <w:gridCol w:w="2020"/>
      </w:tblGrid>
      <w:tr w:rsidR="00192D4F" w:rsidRPr="0027326F" w14:paraId="61B3084B" w14:textId="77777777" w:rsidTr="00192D4F">
        <w:trPr>
          <w:trHeight w:val="240"/>
        </w:trPr>
        <w:tc>
          <w:tcPr>
            <w:tcW w:w="2299" w:type="dxa"/>
            <w:tcBorders>
              <w:top w:val="nil"/>
              <w:left w:val="nil"/>
              <w:bottom w:val="nil"/>
              <w:right w:val="nil"/>
            </w:tcBorders>
            <w:shd w:val="clear" w:color="auto" w:fill="auto"/>
            <w:noWrap/>
            <w:vAlign w:val="bottom"/>
            <w:hideMark/>
          </w:tcPr>
          <w:p w14:paraId="0D86E34A" w14:textId="77777777" w:rsidR="00192D4F" w:rsidRPr="0027326F" w:rsidRDefault="00192D4F" w:rsidP="00192D4F">
            <w:pPr>
              <w:rPr>
                <w:rFonts w:asciiTheme="minorHAnsi" w:eastAsia="Times New Roman" w:hAnsiTheme="minorHAnsi" w:cs="Arial"/>
                <w:sz w:val="20"/>
                <w:szCs w:val="20"/>
              </w:rPr>
            </w:pPr>
          </w:p>
        </w:tc>
        <w:tc>
          <w:tcPr>
            <w:tcW w:w="1380" w:type="dxa"/>
            <w:tcBorders>
              <w:top w:val="nil"/>
              <w:left w:val="nil"/>
              <w:bottom w:val="nil"/>
              <w:right w:val="nil"/>
            </w:tcBorders>
            <w:shd w:val="clear" w:color="auto" w:fill="auto"/>
            <w:noWrap/>
            <w:vAlign w:val="bottom"/>
            <w:hideMark/>
          </w:tcPr>
          <w:p w14:paraId="0ACA4316" w14:textId="77777777" w:rsidR="00192D4F" w:rsidRPr="0027326F" w:rsidRDefault="00192D4F" w:rsidP="00192D4F">
            <w:pPr>
              <w:jc w:val="center"/>
              <w:rPr>
                <w:rFonts w:asciiTheme="minorHAnsi" w:eastAsia="Times New Roman" w:hAnsiTheme="minorHAnsi" w:cs="Arial"/>
                <w:b/>
                <w:sz w:val="20"/>
                <w:szCs w:val="20"/>
              </w:rPr>
            </w:pPr>
            <w:r w:rsidRPr="0027326F">
              <w:rPr>
                <w:rFonts w:asciiTheme="minorHAnsi" w:eastAsia="Times New Roman" w:hAnsiTheme="minorHAnsi" w:cs="Arial"/>
                <w:b/>
                <w:sz w:val="20"/>
                <w:szCs w:val="20"/>
              </w:rPr>
              <w:t>%GDP</w:t>
            </w:r>
          </w:p>
        </w:tc>
        <w:tc>
          <w:tcPr>
            <w:tcW w:w="1380" w:type="dxa"/>
            <w:tcBorders>
              <w:top w:val="nil"/>
              <w:left w:val="nil"/>
              <w:bottom w:val="nil"/>
              <w:right w:val="nil"/>
            </w:tcBorders>
            <w:shd w:val="clear" w:color="auto" w:fill="auto"/>
            <w:noWrap/>
            <w:vAlign w:val="bottom"/>
            <w:hideMark/>
          </w:tcPr>
          <w:p w14:paraId="0C7C551F" w14:textId="77777777" w:rsidR="00192D4F" w:rsidRPr="0027326F" w:rsidRDefault="00192D4F" w:rsidP="00192D4F">
            <w:pPr>
              <w:jc w:val="center"/>
              <w:rPr>
                <w:rFonts w:asciiTheme="minorHAnsi" w:eastAsia="Times New Roman" w:hAnsiTheme="minorHAnsi" w:cs="Arial"/>
                <w:b/>
                <w:sz w:val="20"/>
                <w:szCs w:val="20"/>
              </w:rPr>
            </w:pPr>
            <w:r w:rsidRPr="0027326F">
              <w:rPr>
                <w:rFonts w:asciiTheme="minorHAnsi" w:eastAsia="Times New Roman" w:hAnsiTheme="minorHAnsi" w:cs="Arial"/>
                <w:b/>
                <w:sz w:val="20"/>
                <w:szCs w:val="20"/>
              </w:rPr>
              <w:t>%I</w:t>
            </w:r>
            <w:proofErr w:type="gramStart"/>
            <w:r w:rsidRPr="0027326F">
              <w:rPr>
                <w:rFonts w:asciiTheme="minorHAnsi" w:eastAsia="Times New Roman" w:hAnsiTheme="minorHAnsi" w:cs="Arial"/>
                <w:b/>
                <w:sz w:val="20"/>
                <w:szCs w:val="20"/>
              </w:rPr>
              <w:t>ncome</w:t>
            </w:r>
            <w:proofErr w:type="gramEnd"/>
            <w:r w:rsidRPr="0027326F">
              <w:rPr>
                <w:rFonts w:asciiTheme="minorHAnsi" w:eastAsia="Times New Roman" w:hAnsiTheme="minorHAnsi" w:cs="Arial"/>
                <w:b/>
                <w:sz w:val="20"/>
                <w:szCs w:val="20"/>
              </w:rPr>
              <w:t xml:space="preserve"> Tax</w:t>
            </w:r>
          </w:p>
        </w:tc>
        <w:tc>
          <w:tcPr>
            <w:tcW w:w="1380" w:type="dxa"/>
            <w:tcBorders>
              <w:top w:val="nil"/>
              <w:left w:val="nil"/>
              <w:bottom w:val="nil"/>
              <w:right w:val="nil"/>
            </w:tcBorders>
            <w:shd w:val="clear" w:color="auto" w:fill="auto"/>
            <w:noWrap/>
            <w:vAlign w:val="bottom"/>
            <w:hideMark/>
          </w:tcPr>
          <w:p w14:paraId="18DA4D99" w14:textId="77777777" w:rsidR="00192D4F" w:rsidRPr="0027326F" w:rsidRDefault="00192D4F" w:rsidP="00192D4F">
            <w:pPr>
              <w:jc w:val="center"/>
              <w:rPr>
                <w:rFonts w:asciiTheme="minorHAnsi" w:eastAsia="Times New Roman" w:hAnsiTheme="minorHAnsi" w:cs="Arial"/>
                <w:b/>
                <w:sz w:val="20"/>
                <w:szCs w:val="20"/>
              </w:rPr>
            </w:pPr>
            <w:r w:rsidRPr="0027326F">
              <w:rPr>
                <w:rFonts w:asciiTheme="minorHAnsi" w:eastAsia="Times New Roman" w:hAnsiTheme="minorHAnsi" w:cs="Arial"/>
                <w:b/>
                <w:sz w:val="20"/>
                <w:szCs w:val="20"/>
              </w:rPr>
              <w:t>% Total Tax</w:t>
            </w:r>
          </w:p>
        </w:tc>
        <w:tc>
          <w:tcPr>
            <w:tcW w:w="2020" w:type="dxa"/>
            <w:tcBorders>
              <w:top w:val="nil"/>
              <w:left w:val="nil"/>
              <w:bottom w:val="nil"/>
              <w:right w:val="nil"/>
            </w:tcBorders>
            <w:shd w:val="clear" w:color="auto" w:fill="auto"/>
            <w:noWrap/>
            <w:vAlign w:val="bottom"/>
            <w:hideMark/>
          </w:tcPr>
          <w:p w14:paraId="09DF9710" w14:textId="77777777" w:rsidR="00192D4F" w:rsidRPr="0027326F" w:rsidRDefault="00192D4F" w:rsidP="00192D4F">
            <w:pPr>
              <w:jc w:val="center"/>
              <w:rPr>
                <w:rFonts w:asciiTheme="minorHAnsi" w:eastAsia="Times New Roman" w:hAnsiTheme="minorHAnsi" w:cs="Arial"/>
                <w:b/>
                <w:sz w:val="20"/>
                <w:szCs w:val="20"/>
              </w:rPr>
            </w:pPr>
            <w:r w:rsidRPr="0027326F">
              <w:rPr>
                <w:rFonts w:asciiTheme="minorHAnsi" w:eastAsia="Times New Roman" w:hAnsiTheme="minorHAnsi" w:cs="Arial"/>
                <w:b/>
                <w:sz w:val="20"/>
                <w:szCs w:val="20"/>
              </w:rPr>
              <w:t>Poverty (LIS, 50)</w:t>
            </w:r>
          </w:p>
        </w:tc>
      </w:tr>
      <w:tr w:rsidR="00192D4F" w:rsidRPr="0027326F" w14:paraId="5DDF6CC9" w14:textId="77777777" w:rsidTr="00192D4F">
        <w:trPr>
          <w:trHeight w:val="240"/>
        </w:trPr>
        <w:tc>
          <w:tcPr>
            <w:tcW w:w="2299" w:type="dxa"/>
            <w:tcBorders>
              <w:top w:val="nil"/>
              <w:left w:val="nil"/>
              <w:bottom w:val="nil"/>
              <w:right w:val="nil"/>
            </w:tcBorders>
            <w:shd w:val="clear" w:color="auto" w:fill="auto"/>
            <w:noWrap/>
            <w:vAlign w:val="bottom"/>
            <w:hideMark/>
          </w:tcPr>
          <w:p w14:paraId="2C520A07" w14:textId="77777777" w:rsidR="00192D4F" w:rsidRPr="001B0636" w:rsidRDefault="00192D4F" w:rsidP="00192D4F">
            <w:pPr>
              <w:rPr>
                <w:rFonts w:asciiTheme="minorHAnsi" w:eastAsia="Times New Roman" w:hAnsiTheme="minorHAnsi" w:cs="Arial"/>
                <w:b/>
                <w:sz w:val="20"/>
                <w:szCs w:val="20"/>
              </w:rPr>
            </w:pPr>
            <w:proofErr w:type="gramStart"/>
            <w:r w:rsidRPr="0027326F">
              <w:rPr>
                <w:rFonts w:asciiTheme="minorHAnsi" w:eastAsia="Times New Roman" w:hAnsiTheme="minorHAnsi" w:cs="Arial"/>
                <w:b/>
                <w:sz w:val="20"/>
                <w:szCs w:val="20"/>
              </w:rPr>
              <w:t>Canada</w:t>
            </w:r>
            <w:r w:rsidR="005203CA" w:rsidRPr="005C2FA5">
              <w:rPr>
                <w:rFonts w:asciiTheme="minorHAnsi" w:eastAsia="Times New Roman" w:hAnsiTheme="minorHAnsi" w:cs="Arial"/>
                <w:b/>
                <w:sz w:val="20"/>
                <w:szCs w:val="20"/>
              </w:rPr>
              <w:t xml:space="preserve"> </w:t>
            </w:r>
            <w:r w:rsidRPr="001B0636">
              <w:rPr>
                <w:rFonts w:asciiTheme="minorHAnsi" w:eastAsia="Times New Roman" w:hAnsiTheme="minorHAnsi" w:cs="Arial"/>
                <w:b/>
                <w:sz w:val="20"/>
                <w:szCs w:val="20"/>
              </w:rPr>
              <w:t xml:space="preserve"> 2004</w:t>
            </w:r>
            <w:proofErr w:type="gramEnd"/>
          </w:p>
        </w:tc>
        <w:tc>
          <w:tcPr>
            <w:tcW w:w="1380" w:type="dxa"/>
            <w:tcBorders>
              <w:top w:val="nil"/>
              <w:left w:val="nil"/>
              <w:bottom w:val="nil"/>
              <w:right w:val="nil"/>
            </w:tcBorders>
            <w:shd w:val="clear" w:color="auto" w:fill="auto"/>
            <w:noWrap/>
            <w:vAlign w:val="bottom"/>
            <w:hideMark/>
          </w:tcPr>
          <w:p w14:paraId="62576DC8"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5,8</w:t>
            </w:r>
          </w:p>
        </w:tc>
        <w:tc>
          <w:tcPr>
            <w:tcW w:w="1380" w:type="dxa"/>
            <w:tcBorders>
              <w:top w:val="nil"/>
              <w:left w:val="nil"/>
              <w:bottom w:val="nil"/>
              <w:right w:val="nil"/>
            </w:tcBorders>
            <w:shd w:val="clear" w:color="auto" w:fill="auto"/>
            <w:noWrap/>
            <w:vAlign w:val="bottom"/>
            <w:hideMark/>
          </w:tcPr>
          <w:p w14:paraId="4F1B772F"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59,4</w:t>
            </w:r>
          </w:p>
        </w:tc>
        <w:tc>
          <w:tcPr>
            <w:tcW w:w="1380" w:type="dxa"/>
            <w:tcBorders>
              <w:top w:val="nil"/>
              <w:left w:val="nil"/>
              <w:bottom w:val="nil"/>
              <w:right w:val="nil"/>
            </w:tcBorders>
            <w:shd w:val="clear" w:color="auto" w:fill="auto"/>
            <w:noWrap/>
            <w:vAlign w:val="bottom"/>
            <w:hideMark/>
          </w:tcPr>
          <w:p w14:paraId="6BB824A2"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44,4</w:t>
            </w:r>
          </w:p>
        </w:tc>
        <w:tc>
          <w:tcPr>
            <w:tcW w:w="2020" w:type="dxa"/>
            <w:tcBorders>
              <w:top w:val="nil"/>
              <w:left w:val="nil"/>
              <w:bottom w:val="nil"/>
              <w:right w:val="nil"/>
            </w:tcBorders>
            <w:shd w:val="clear" w:color="auto" w:fill="auto"/>
            <w:noWrap/>
            <w:vAlign w:val="bottom"/>
            <w:hideMark/>
          </w:tcPr>
          <w:p w14:paraId="12623D89"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12.97</w:t>
            </w:r>
          </w:p>
        </w:tc>
      </w:tr>
      <w:tr w:rsidR="00192D4F" w:rsidRPr="0027326F" w14:paraId="700F9401" w14:textId="77777777" w:rsidTr="00192D4F">
        <w:trPr>
          <w:trHeight w:val="240"/>
        </w:trPr>
        <w:tc>
          <w:tcPr>
            <w:tcW w:w="2299" w:type="dxa"/>
            <w:tcBorders>
              <w:top w:val="nil"/>
              <w:left w:val="nil"/>
              <w:bottom w:val="nil"/>
              <w:right w:val="nil"/>
            </w:tcBorders>
            <w:shd w:val="clear" w:color="auto" w:fill="auto"/>
            <w:noWrap/>
            <w:vAlign w:val="bottom"/>
            <w:hideMark/>
          </w:tcPr>
          <w:p w14:paraId="5F5D47D0" w14:textId="77777777" w:rsidR="00192D4F" w:rsidRPr="001B0636" w:rsidRDefault="00192D4F" w:rsidP="00192D4F">
            <w:pPr>
              <w:rPr>
                <w:rFonts w:asciiTheme="minorHAnsi" w:eastAsia="Times New Roman" w:hAnsiTheme="minorHAnsi" w:cs="Arial"/>
                <w:b/>
                <w:sz w:val="20"/>
                <w:szCs w:val="20"/>
              </w:rPr>
            </w:pPr>
            <w:proofErr w:type="gramStart"/>
            <w:r w:rsidRPr="0027326F">
              <w:rPr>
                <w:rFonts w:asciiTheme="minorHAnsi" w:eastAsia="Times New Roman" w:hAnsiTheme="minorHAnsi" w:cs="Arial"/>
                <w:b/>
                <w:sz w:val="20"/>
                <w:szCs w:val="20"/>
              </w:rPr>
              <w:t>Germany</w:t>
            </w:r>
            <w:r w:rsidR="005203CA" w:rsidRPr="005C2FA5">
              <w:rPr>
                <w:rFonts w:asciiTheme="minorHAnsi" w:eastAsia="Times New Roman" w:hAnsiTheme="minorHAnsi" w:cs="Arial"/>
                <w:b/>
                <w:sz w:val="20"/>
                <w:szCs w:val="20"/>
              </w:rPr>
              <w:t xml:space="preserve"> </w:t>
            </w:r>
            <w:r w:rsidRPr="001B0636">
              <w:rPr>
                <w:rFonts w:asciiTheme="minorHAnsi" w:eastAsia="Times New Roman" w:hAnsiTheme="minorHAnsi" w:cs="Arial"/>
                <w:b/>
                <w:sz w:val="20"/>
                <w:szCs w:val="20"/>
              </w:rPr>
              <w:t xml:space="preserve"> 2006</w:t>
            </w:r>
            <w:proofErr w:type="gramEnd"/>
          </w:p>
        </w:tc>
        <w:tc>
          <w:tcPr>
            <w:tcW w:w="1380" w:type="dxa"/>
            <w:tcBorders>
              <w:top w:val="nil"/>
              <w:left w:val="nil"/>
              <w:bottom w:val="nil"/>
              <w:right w:val="nil"/>
            </w:tcBorders>
            <w:shd w:val="clear" w:color="auto" w:fill="auto"/>
            <w:noWrap/>
            <w:vAlign w:val="bottom"/>
            <w:hideMark/>
          </w:tcPr>
          <w:p w14:paraId="1898ECE1"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0,3</w:t>
            </w:r>
          </w:p>
        </w:tc>
        <w:tc>
          <w:tcPr>
            <w:tcW w:w="1380" w:type="dxa"/>
            <w:tcBorders>
              <w:top w:val="nil"/>
              <w:left w:val="nil"/>
              <w:bottom w:val="nil"/>
              <w:right w:val="nil"/>
            </w:tcBorders>
            <w:shd w:val="clear" w:color="auto" w:fill="auto"/>
            <w:noWrap/>
            <w:vAlign w:val="bottom"/>
            <w:hideMark/>
          </w:tcPr>
          <w:p w14:paraId="3DC41FF2"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8,8</w:t>
            </w:r>
          </w:p>
        </w:tc>
        <w:tc>
          <w:tcPr>
            <w:tcW w:w="1380" w:type="dxa"/>
            <w:tcBorders>
              <w:top w:val="nil"/>
              <w:left w:val="nil"/>
              <w:bottom w:val="nil"/>
              <w:right w:val="nil"/>
            </w:tcBorders>
            <w:shd w:val="clear" w:color="auto" w:fill="auto"/>
            <w:noWrap/>
            <w:vAlign w:val="bottom"/>
            <w:hideMark/>
          </w:tcPr>
          <w:p w14:paraId="280A6733"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8,5</w:t>
            </w:r>
          </w:p>
        </w:tc>
        <w:tc>
          <w:tcPr>
            <w:tcW w:w="2020" w:type="dxa"/>
            <w:tcBorders>
              <w:top w:val="nil"/>
              <w:left w:val="nil"/>
              <w:bottom w:val="nil"/>
              <w:right w:val="nil"/>
            </w:tcBorders>
            <w:shd w:val="clear" w:color="auto" w:fill="auto"/>
            <w:noWrap/>
            <w:vAlign w:val="bottom"/>
            <w:hideMark/>
          </w:tcPr>
          <w:p w14:paraId="3225D2AA"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8.</w:t>
            </w:r>
            <w:r w:rsidR="00BB09AA" w:rsidRPr="0027326F">
              <w:rPr>
                <w:rFonts w:asciiTheme="minorHAnsi" w:eastAsia="Times New Roman" w:hAnsiTheme="minorHAnsi" w:cs="Arial"/>
                <w:sz w:val="20"/>
                <w:szCs w:val="20"/>
              </w:rPr>
              <w:t>2</w:t>
            </w:r>
          </w:p>
        </w:tc>
      </w:tr>
      <w:tr w:rsidR="00192D4F" w:rsidRPr="0027326F" w14:paraId="1CC45728" w14:textId="77777777" w:rsidTr="00192D4F">
        <w:trPr>
          <w:trHeight w:val="240"/>
        </w:trPr>
        <w:tc>
          <w:tcPr>
            <w:tcW w:w="2299" w:type="dxa"/>
            <w:tcBorders>
              <w:top w:val="nil"/>
              <w:left w:val="nil"/>
              <w:bottom w:val="nil"/>
              <w:right w:val="nil"/>
            </w:tcBorders>
            <w:shd w:val="clear" w:color="auto" w:fill="auto"/>
            <w:noWrap/>
            <w:vAlign w:val="bottom"/>
            <w:hideMark/>
          </w:tcPr>
          <w:p w14:paraId="20ADD8CF" w14:textId="77777777" w:rsidR="00192D4F" w:rsidRPr="001B0636" w:rsidRDefault="00192D4F" w:rsidP="00192D4F">
            <w:pPr>
              <w:rPr>
                <w:rFonts w:asciiTheme="minorHAnsi" w:eastAsia="Times New Roman" w:hAnsiTheme="minorHAnsi" w:cs="Arial"/>
                <w:b/>
                <w:sz w:val="20"/>
                <w:szCs w:val="20"/>
              </w:rPr>
            </w:pPr>
            <w:proofErr w:type="gramStart"/>
            <w:r w:rsidRPr="0027326F">
              <w:rPr>
                <w:rFonts w:asciiTheme="minorHAnsi" w:eastAsia="Times New Roman" w:hAnsiTheme="minorHAnsi" w:cs="Arial"/>
                <w:b/>
                <w:sz w:val="20"/>
                <w:szCs w:val="20"/>
              </w:rPr>
              <w:t>Korea</w:t>
            </w:r>
            <w:r w:rsidR="005203CA" w:rsidRPr="005C2FA5">
              <w:rPr>
                <w:rFonts w:asciiTheme="minorHAnsi" w:eastAsia="Times New Roman" w:hAnsiTheme="minorHAnsi" w:cs="Arial"/>
                <w:b/>
                <w:sz w:val="20"/>
                <w:szCs w:val="20"/>
              </w:rPr>
              <w:t xml:space="preserve"> </w:t>
            </w:r>
            <w:r w:rsidRPr="001B0636">
              <w:rPr>
                <w:rFonts w:asciiTheme="minorHAnsi" w:eastAsia="Times New Roman" w:hAnsiTheme="minorHAnsi" w:cs="Arial"/>
                <w:b/>
                <w:sz w:val="20"/>
                <w:szCs w:val="20"/>
              </w:rPr>
              <w:t xml:space="preserve"> 2006</w:t>
            </w:r>
            <w:proofErr w:type="gramEnd"/>
          </w:p>
        </w:tc>
        <w:tc>
          <w:tcPr>
            <w:tcW w:w="1380" w:type="dxa"/>
            <w:tcBorders>
              <w:top w:val="nil"/>
              <w:left w:val="nil"/>
              <w:bottom w:val="nil"/>
              <w:right w:val="nil"/>
            </w:tcBorders>
            <w:shd w:val="clear" w:color="auto" w:fill="auto"/>
            <w:noWrap/>
            <w:vAlign w:val="bottom"/>
            <w:hideMark/>
          </w:tcPr>
          <w:p w14:paraId="48634D26"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1,8</w:t>
            </w:r>
          </w:p>
        </w:tc>
        <w:tc>
          <w:tcPr>
            <w:tcW w:w="1380" w:type="dxa"/>
            <w:tcBorders>
              <w:top w:val="nil"/>
              <w:left w:val="nil"/>
              <w:bottom w:val="nil"/>
              <w:right w:val="nil"/>
            </w:tcBorders>
            <w:shd w:val="clear" w:color="auto" w:fill="auto"/>
            <w:noWrap/>
            <w:vAlign w:val="bottom"/>
            <w:hideMark/>
          </w:tcPr>
          <w:p w14:paraId="24937D61"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24,7</w:t>
            </w:r>
          </w:p>
        </w:tc>
        <w:tc>
          <w:tcPr>
            <w:tcW w:w="1380" w:type="dxa"/>
            <w:tcBorders>
              <w:top w:val="nil"/>
              <w:left w:val="nil"/>
              <w:bottom w:val="nil"/>
              <w:right w:val="nil"/>
            </w:tcBorders>
            <w:shd w:val="clear" w:color="auto" w:fill="auto"/>
            <w:noWrap/>
            <w:vAlign w:val="bottom"/>
            <w:hideMark/>
          </w:tcPr>
          <w:p w14:paraId="493DAC28"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14,3</w:t>
            </w:r>
          </w:p>
        </w:tc>
        <w:tc>
          <w:tcPr>
            <w:tcW w:w="2020" w:type="dxa"/>
            <w:tcBorders>
              <w:top w:val="nil"/>
              <w:left w:val="nil"/>
              <w:bottom w:val="nil"/>
              <w:right w:val="nil"/>
            </w:tcBorders>
            <w:shd w:val="clear" w:color="auto" w:fill="auto"/>
            <w:noWrap/>
            <w:vAlign w:val="bottom"/>
            <w:hideMark/>
          </w:tcPr>
          <w:p w14:paraId="5E026407"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13.96</w:t>
            </w:r>
          </w:p>
        </w:tc>
      </w:tr>
      <w:tr w:rsidR="00192D4F" w:rsidRPr="0027326F" w14:paraId="76769720" w14:textId="77777777" w:rsidTr="00192D4F">
        <w:trPr>
          <w:trHeight w:val="240"/>
        </w:trPr>
        <w:tc>
          <w:tcPr>
            <w:tcW w:w="2299" w:type="dxa"/>
            <w:tcBorders>
              <w:top w:val="nil"/>
              <w:left w:val="nil"/>
              <w:bottom w:val="nil"/>
              <w:right w:val="nil"/>
            </w:tcBorders>
            <w:shd w:val="clear" w:color="auto" w:fill="auto"/>
            <w:noWrap/>
            <w:vAlign w:val="bottom"/>
            <w:hideMark/>
          </w:tcPr>
          <w:p w14:paraId="3350619D" w14:textId="77777777" w:rsidR="00192D4F" w:rsidRPr="001B0636" w:rsidRDefault="00192D4F" w:rsidP="00192D4F">
            <w:pPr>
              <w:rPr>
                <w:rFonts w:asciiTheme="minorHAnsi" w:eastAsia="Times New Roman" w:hAnsiTheme="minorHAnsi" w:cs="Arial"/>
                <w:b/>
                <w:sz w:val="20"/>
                <w:szCs w:val="20"/>
              </w:rPr>
            </w:pPr>
            <w:proofErr w:type="spellStart"/>
            <w:proofErr w:type="gramStart"/>
            <w:r w:rsidRPr="0027326F">
              <w:rPr>
                <w:rFonts w:asciiTheme="minorHAnsi" w:eastAsia="Times New Roman" w:hAnsiTheme="minorHAnsi" w:cs="Arial"/>
                <w:b/>
                <w:sz w:val="20"/>
                <w:szCs w:val="20"/>
              </w:rPr>
              <w:t>N</w:t>
            </w:r>
            <w:r w:rsidR="005A5A00">
              <w:rPr>
                <w:rFonts w:asciiTheme="minorHAnsi" w:eastAsia="Times New Roman" w:hAnsiTheme="minorHAnsi" w:cs="Arial"/>
                <w:b/>
                <w:sz w:val="20"/>
                <w:szCs w:val="20"/>
              </w:rPr>
              <w:t>eatherlands</w:t>
            </w:r>
            <w:proofErr w:type="spellEnd"/>
            <w:r w:rsidR="005203CA" w:rsidRPr="001B0636">
              <w:rPr>
                <w:rFonts w:asciiTheme="minorHAnsi" w:eastAsia="Times New Roman" w:hAnsiTheme="minorHAnsi" w:cs="Arial"/>
                <w:b/>
                <w:sz w:val="20"/>
                <w:szCs w:val="20"/>
              </w:rPr>
              <w:t xml:space="preserve"> </w:t>
            </w:r>
            <w:r w:rsidRPr="001B0636">
              <w:rPr>
                <w:rFonts w:asciiTheme="minorHAnsi" w:eastAsia="Times New Roman" w:hAnsiTheme="minorHAnsi" w:cs="Arial"/>
                <w:b/>
                <w:sz w:val="20"/>
                <w:szCs w:val="20"/>
              </w:rPr>
              <w:t xml:space="preserve"> 2006</w:t>
            </w:r>
            <w:proofErr w:type="gramEnd"/>
          </w:p>
        </w:tc>
        <w:tc>
          <w:tcPr>
            <w:tcW w:w="1380" w:type="dxa"/>
            <w:tcBorders>
              <w:top w:val="nil"/>
              <w:left w:val="nil"/>
              <w:bottom w:val="nil"/>
              <w:right w:val="nil"/>
            </w:tcBorders>
            <w:shd w:val="clear" w:color="auto" w:fill="auto"/>
            <w:noWrap/>
            <w:vAlign w:val="bottom"/>
            <w:hideMark/>
          </w:tcPr>
          <w:p w14:paraId="2DBD93D6"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1,1</w:t>
            </w:r>
          </w:p>
        </w:tc>
        <w:tc>
          <w:tcPr>
            <w:tcW w:w="1380" w:type="dxa"/>
            <w:tcBorders>
              <w:top w:val="nil"/>
              <w:left w:val="nil"/>
              <w:bottom w:val="nil"/>
              <w:right w:val="nil"/>
            </w:tcBorders>
            <w:shd w:val="clear" w:color="auto" w:fill="auto"/>
            <w:noWrap/>
            <w:vAlign w:val="bottom"/>
            <w:hideMark/>
          </w:tcPr>
          <w:p w14:paraId="5CDD3D60"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9,9</w:t>
            </w:r>
          </w:p>
        </w:tc>
        <w:tc>
          <w:tcPr>
            <w:tcW w:w="1380" w:type="dxa"/>
            <w:tcBorders>
              <w:top w:val="nil"/>
              <w:left w:val="nil"/>
              <w:bottom w:val="nil"/>
              <w:right w:val="nil"/>
            </w:tcBorders>
            <w:shd w:val="clear" w:color="auto" w:fill="auto"/>
            <w:noWrap/>
            <w:vAlign w:val="bottom"/>
            <w:hideMark/>
          </w:tcPr>
          <w:p w14:paraId="2E887467"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5,1</w:t>
            </w:r>
          </w:p>
        </w:tc>
        <w:tc>
          <w:tcPr>
            <w:tcW w:w="2020" w:type="dxa"/>
            <w:tcBorders>
              <w:top w:val="nil"/>
              <w:left w:val="nil"/>
              <w:bottom w:val="nil"/>
              <w:right w:val="nil"/>
            </w:tcBorders>
            <w:shd w:val="clear" w:color="auto" w:fill="auto"/>
            <w:noWrap/>
            <w:vAlign w:val="bottom"/>
            <w:hideMark/>
          </w:tcPr>
          <w:p w14:paraId="43E655CE" w14:textId="77777777" w:rsidR="00192D4F" w:rsidRPr="0027326F" w:rsidRDefault="00BB09AA"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5.2</w:t>
            </w:r>
          </w:p>
        </w:tc>
      </w:tr>
      <w:tr w:rsidR="00192D4F" w:rsidRPr="0027326F" w14:paraId="746414E3" w14:textId="77777777" w:rsidTr="00192D4F">
        <w:trPr>
          <w:trHeight w:val="240"/>
        </w:trPr>
        <w:tc>
          <w:tcPr>
            <w:tcW w:w="2299" w:type="dxa"/>
            <w:tcBorders>
              <w:top w:val="nil"/>
              <w:left w:val="nil"/>
              <w:bottom w:val="nil"/>
              <w:right w:val="nil"/>
            </w:tcBorders>
            <w:shd w:val="clear" w:color="auto" w:fill="auto"/>
            <w:noWrap/>
            <w:vAlign w:val="bottom"/>
            <w:hideMark/>
          </w:tcPr>
          <w:p w14:paraId="3E9097EB" w14:textId="77777777" w:rsidR="00192D4F" w:rsidRPr="001B0636" w:rsidRDefault="00192D4F" w:rsidP="00192D4F">
            <w:pPr>
              <w:rPr>
                <w:rFonts w:asciiTheme="minorHAnsi" w:eastAsia="Times New Roman" w:hAnsiTheme="minorHAnsi" w:cs="Arial"/>
                <w:b/>
                <w:sz w:val="20"/>
                <w:szCs w:val="20"/>
              </w:rPr>
            </w:pPr>
            <w:proofErr w:type="gramStart"/>
            <w:r w:rsidRPr="0027326F">
              <w:rPr>
                <w:rFonts w:asciiTheme="minorHAnsi" w:eastAsia="Times New Roman" w:hAnsiTheme="minorHAnsi" w:cs="Arial"/>
                <w:b/>
                <w:sz w:val="20"/>
                <w:szCs w:val="20"/>
              </w:rPr>
              <w:t>Spain</w:t>
            </w:r>
            <w:r w:rsidR="005203CA" w:rsidRPr="005C2FA5">
              <w:rPr>
                <w:rFonts w:asciiTheme="minorHAnsi" w:eastAsia="Times New Roman" w:hAnsiTheme="minorHAnsi" w:cs="Arial"/>
                <w:b/>
                <w:sz w:val="20"/>
                <w:szCs w:val="20"/>
              </w:rPr>
              <w:t xml:space="preserve"> </w:t>
            </w:r>
            <w:r w:rsidRPr="001B0636">
              <w:rPr>
                <w:rFonts w:asciiTheme="minorHAnsi" w:eastAsia="Times New Roman" w:hAnsiTheme="minorHAnsi" w:cs="Arial"/>
                <w:b/>
                <w:sz w:val="20"/>
                <w:szCs w:val="20"/>
              </w:rPr>
              <w:t xml:space="preserve"> 2008</w:t>
            </w:r>
            <w:proofErr w:type="gramEnd"/>
          </w:p>
        </w:tc>
        <w:tc>
          <w:tcPr>
            <w:tcW w:w="1380" w:type="dxa"/>
            <w:tcBorders>
              <w:top w:val="nil"/>
              <w:left w:val="nil"/>
              <w:bottom w:val="nil"/>
              <w:right w:val="nil"/>
            </w:tcBorders>
            <w:shd w:val="clear" w:color="auto" w:fill="auto"/>
            <w:noWrap/>
            <w:vAlign w:val="bottom"/>
            <w:hideMark/>
          </w:tcPr>
          <w:p w14:paraId="4C20DE6C"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2,3</w:t>
            </w:r>
          </w:p>
        </w:tc>
        <w:tc>
          <w:tcPr>
            <w:tcW w:w="1380" w:type="dxa"/>
            <w:tcBorders>
              <w:top w:val="nil"/>
              <w:left w:val="nil"/>
              <w:bottom w:val="nil"/>
              <w:right w:val="nil"/>
            </w:tcBorders>
            <w:shd w:val="clear" w:color="auto" w:fill="auto"/>
            <w:noWrap/>
            <w:vAlign w:val="bottom"/>
            <w:hideMark/>
          </w:tcPr>
          <w:p w14:paraId="2401BD16"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28,2</w:t>
            </w:r>
          </w:p>
        </w:tc>
        <w:tc>
          <w:tcPr>
            <w:tcW w:w="1380" w:type="dxa"/>
            <w:tcBorders>
              <w:top w:val="nil"/>
              <w:left w:val="nil"/>
              <w:bottom w:val="nil"/>
              <w:right w:val="nil"/>
            </w:tcBorders>
            <w:shd w:val="clear" w:color="auto" w:fill="auto"/>
            <w:noWrap/>
            <w:vAlign w:val="bottom"/>
            <w:hideMark/>
          </w:tcPr>
          <w:p w14:paraId="71BFC563"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12,5</w:t>
            </w:r>
          </w:p>
        </w:tc>
        <w:tc>
          <w:tcPr>
            <w:tcW w:w="2020" w:type="dxa"/>
            <w:tcBorders>
              <w:top w:val="nil"/>
              <w:left w:val="nil"/>
              <w:bottom w:val="nil"/>
              <w:right w:val="nil"/>
            </w:tcBorders>
            <w:shd w:val="clear" w:color="auto" w:fill="auto"/>
            <w:noWrap/>
            <w:vAlign w:val="bottom"/>
            <w:hideMark/>
          </w:tcPr>
          <w:p w14:paraId="65046358"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13.7</w:t>
            </w:r>
          </w:p>
        </w:tc>
      </w:tr>
      <w:tr w:rsidR="00192D4F" w:rsidRPr="0027326F" w14:paraId="10C52499" w14:textId="77777777" w:rsidTr="00192D4F">
        <w:trPr>
          <w:trHeight w:val="240"/>
        </w:trPr>
        <w:tc>
          <w:tcPr>
            <w:tcW w:w="2299" w:type="dxa"/>
            <w:tcBorders>
              <w:top w:val="nil"/>
              <w:left w:val="nil"/>
              <w:bottom w:val="nil"/>
              <w:right w:val="nil"/>
            </w:tcBorders>
            <w:shd w:val="clear" w:color="auto" w:fill="auto"/>
            <w:noWrap/>
            <w:vAlign w:val="bottom"/>
            <w:hideMark/>
          </w:tcPr>
          <w:p w14:paraId="3E823436" w14:textId="77777777" w:rsidR="00192D4F" w:rsidRPr="001B0636" w:rsidRDefault="00192D4F" w:rsidP="00192D4F">
            <w:pPr>
              <w:rPr>
                <w:rFonts w:asciiTheme="minorHAnsi" w:eastAsia="Times New Roman" w:hAnsiTheme="minorHAnsi" w:cs="Arial"/>
                <w:b/>
                <w:sz w:val="20"/>
                <w:szCs w:val="20"/>
              </w:rPr>
            </w:pPr>
            <w:r w:rsidRPr="0027326F">
              <w:rPr>
                <w:rFonts w:asciiTheme="minorHAnsi" w:eastAsia="Times New Roman" w:hAnsiTheme="minorHAnsi" w:cs="Arial"/>
                <w:b/>
                <w:sz w:val="20"/>
                <w:szCs w:val="20"/>
              </w:rPr>
              <w:t>U</w:t>
            </w:r>
            <w:r w:rsidR="005203CA" w:rsidRPr="005C2FA5">
              <w:rPr>
                <w:rFonts w:asciiTheme="minorHAnsi" w:eastAsia="Times New Roman" w:hAnsiTheme="minorHAnsi" w:cs="Arial"/>
                <w:b/>
                <w:sz w:val="20"/>
                <w:szCs w:val="20"/>
              </w:rPr>
              <w:t>K</w:t>
            </w:r>
            <w:r w:rsidRPr="001B0636">
              <w:rPr>
                <w:rFonts w:asciiTheme="minorHAnsi" w:eastAsia="Times New Roman" w:hAnsiTheme="minorHAnsi" w:cs="Arial"/>
                <w:b/>
                <w:sz w:val="20"/>
                <w:szCs w:val="20"/>
              </w:rPr>
              <w:t xml:space="preserve"> 2006</w:t>
            </w:r>
          </w:p>
        </w:tc>
        <w:tc>
          <w:tcPr>
            <w:tcW w:w="1380" w:type="dxa"/>
            <w:tcBorders>
              <w:top w:val="nil"/>
              <w:left w:val="nil"/>
              <w:bottom w:val="nil"/>
              <w:right w:val="nil"/>
            </w:tcBorders>
            <w:shd w:val="clear" w:color="auto" w:fill="auto"/>
            <w:noWrap/>
            <w:vAlign w:val="bottom"/>
            <w:hideMark/>
          </w:tcPr>
          <w:p w14:paraId="2419DD40"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8,3</w:t>
            </w:r>
          </w:p>
        </w:tc>
        <w:tc>
          <w:tcPr>
            <w:tcW w:w="1380" w:type="dxa"/>
            <w:tcBorders>
              <w:top w:val="nil"/>
              <w:left w:val="nil"/>
              <w:bottom w:val="nil"/>
              <w:right w:val="nil"/>
            </w:tcBorders>
            <w:shd w:val="clear" w:color="auto" w:fill="auto"/>
            <w:noWrap/>
            <w:vAlign w:val="bottom"/>
            <w:hideMark/>
          </w:tcPr>
          <w:p w14:paraId="0F49ADBB"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58,6</w:t>
            </w:r>
          </w:p>
        </w:tc>
        <w:tc>
          <w:tcPr>
            <w:tcW w:w="1380" w:type="dxa"/>
            <w:tcBorders>
              <w:top w:val="nil"/>
              <w:left w:val="nil"/>
              <w:bottom w:val="nil"/>
              <w:right w:val="nil"/>
            </w:tcBorders>
            <w:shd w:val="clear" w:color="auto" w:fill="auto"/>
            <w:noWrap/>
            <w:vAlign w:val="bottom"/>
            <w:hideMark/>
          </w:tcPr>
          <w:p w14:paraId="189A8B5E"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35,2</w:t>
            </w:r>
          </w:p>
        </w:tc>
        <w:tc>
          <w:tcPr>
            <w:tcW w:w="2020" w:type="dxa"/>
            <w:tcBorders>
              <w:top w:val="nil"/>
              <w:left w:val="nil"/>
              <w:bottom w:val="nil"/>
              <w:right w:val="nil"/>
            </w:tcBorders>
            <w:shd w:val="clear" w:color="auto" w:fill="auto"/>
            <w:noWrap/>
            <w:vAlign w:val="bottom"/>
            <w:hideMark/>
          </w:tcPr>
          <w:p w14:paraId="7BE163F8"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11.3</w:t>
            </w:r>
          </w:p>
        </w:tc>
      </w:tr>
      <w:tr w:rsidR="00192D4F" w:rsidRPr="0027326F" w14:paraId="4D2CF2C6" w14:textId="77777777" w:rsidTr="00192D4F">
        <w:trPr>
          <w:trHeight w:val="240"/>
        </w:trPr>
        <w:tc>
          <w:tcPr>
            <w:tcW w:w="2299" w:type="dxa"/>
            <w:tcBorders>
              <w:top w:val="nil"/>
              <w:left w:val="nil"/>
              <w:bottom w:val="nil"/>
              <w:right w:val="nil"/>
            </w:tcBorders>
            <w:shd w:val="clear" w:color="auto" w:fill="auto"/>
            <w:noWrap/>
            <w:vAlign w:val="bottom"/>
            <w:hideMark/>
          </w:tcPr>
          <w:p w14:paraId="7619ACAA" w14:textId="77777777" w:rsidR="00192D4F" w:rsidRPr="001B0636" w:rsidRDefault="00192D4F" w:rsidP="00192D4F">
            <w:pPr>
              <w:rPr>
                <w:rFonts w:asciiTheme="minorHAnsi" w:eastAsia="Times New Roman" w:hAnsiTheme="minorHAnsi" w:cs="Arial"/>
                <w:b/>
                <w:sz w:val="20"/>
                <w:szCs w:val="20"/>
              </w:rPr>
            </w:pPr>
            <w:r w:rsidRPr="0027326F">
              <w:rPr>
                <w:rFonts w:asciiTheme="minorHAnsi" w:eastAsia="Times New Roman" w:hAnsiTheme="minorHAnsi" w:cs="Arial"/>
                <w:b/>
                <w:sz w:val="20"/>
                <w:szCs w:val="20"/>
              </w:rPr>
              <w:t>U</w:t>
            </w:r>
            <w:r w:rsidR="005203CA" w:rsidRPr="005C2FA5">
              <w:rPr>
                <w:rFonts w:asciiTheme="minorHAnsi" w:eastAsia="Times New Roman" w:hAnsiTheme="minorHAnsi" w:cs="Arial"/>
                <w:b/>
                <w:sz w:val="20"/>
                <w:szCs w:val="20"/>
              </w:rPr>
              <w:t>SA</w:t>
            </w:r>
            <w:r w:rsidRPr="001B0636">
              <w:rPr>
                <w:rFonts w:asciiTheme="minorHAnsi" w:eastAsia="Times New Roman" w:hAnsiTheme="minorHAnsi" w:cs="Arial"/>
                <w:b/>
                <w:sz w:val="20"/>
                <w:szCs w:val="20"/>
              </w:rPr>
              <w:t xml:space="preserve"> 2008</w:t>
            </w:r>
          </w:p>
        </w:tc>
        <w:tc>
          <w:tcPr>
            <w:tcW w:w="1380" w:type="dxa"/>
            <w:tcBorders>
              <w:top w:val="nil"/>
              <w:left w:val="nil"/>
              <w:bottom w:val="nil"/>
              <w:right w:val="nil"/>
            </w:tcBorders>
            <w:shd w:val="clear" w:color="auto" w:fill="auto"/>
            <w:noWrap/>
            <w:vAlign w:val="bottom"/>
            <w:hideMark/>
          </w:tcPr>
          <w:p w14:paraId="5201E09B"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6,0</w:t>
            </w:r>
          </w:p>
        </w:tc>
        <w:tc>
          <w:tcPr>
            <w:tcW w:w="1380" w:type="dxa"/>
            <w:tcBorders>
              <w:top w:val="nil"/>
              <w:left w:val="nil"/>
              <w:bottom w:val="nil"/>
              <w:right w:val="nil"/>
            </w:tcBorders>
            <w:shd w:val="clear" w:color="auto" w:fill="auto"/>
            <w:noWrap/>
            <w:vAlign w:val="bottom"/>
            <w:hideMark/>
          </w:tcPr>
          <w:p w14:paraId="2D12750C"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38,8</w:t>
            </w:r>
          </w:p>
        </w:tc>
        <w:tc>
          <w:tcPr>
            <w:tcW w:w="1380" w:type="dxa"/>
            <w:tcBorders>
              <w:top w:val="nil"/>
              <w:left w:val="nil"/>
              <w:bottom w:val="nil"/>
              <w:right w:val="nil"/>
            </w:tcBorders>
            <w:shd w:val="clear" w:color="auto" w:fill="auto"/>
            <w:noWrap/>
            <w:vAlign w:val="bottom"/>
            <w:hideMark/>
          </w:tcPr>
          <w:p w14:paraId="382125ED"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33,7</w:t>
            </w:r>
          </w:p>
        </w:tc>
        <w:tc>
          <w:tcPr>
            <w:tcW w:w="2020" w:type="dxa"/>
            <w:tcBorders>
              <w:top w:val="nil"/>
              <w:left w:val="nil"/>
              <w:bottom w:val="nil"/>
              <w:right w:val="nil"/>
            </w:tcBorders>
            <w:shd w:val="clear" w:color="auto" w:fill="auto"/>
            <w:noWrap/>
            <w:vAlign w:val="bottom"/>
            <w:hideMark/>
          </w:tcPr>
          <w:p w14:paraId="6AB8C365" w14:textId="77777777" w:rsidR="00192D4F" w:rsidRPr="0027326F" w:rsidRDefault="00192D4F" w:rsidP="00192D4F">
            <w:pPr>
              <w:jc w:val="center"/>
              <w:rPr>
                <w:rFonts w:asciiTheme="minorHAnsi" w:eastAsia="Times New Roman" w:hAnsiTheme="minorHAnsi" w:cs="Arial"/>
                <w:sz w:val="20"/>
                <w:szCs w:val="20"/>
              </w:rPr>
            </w:pPr>
            <w:r w:rsidRPr="0027326F">
              <w:rPr>
                <w:rFonts w:asciiTheme="minorHAnsi" w:eastAsia="Times New Roman" w:hAnsiTheme="minorHAnsi" w:cs="Arial"/>
                <w:sz w:val="20"/>
                <w:szCs w:val="20"/>
              </w:rPr>
              <w:t>17.7</w:t>
            </w:r>
          </w:p>
        </w:tc>
      </w:tr>
    </w:tbl>
    <w:p w14:paraId="506A8426" w14:textId="77777777" w:rsidR="000E28E9" w:rsidRPr="005C2FA5" w:rsidRDefault="00192D4F" w:rsidP="00D66488">
      <w:pPr>
        <w:ind w:firstLine="720"/>
        <w:rPr>
          <w:rFonts w:asciiTheme="minorHAnsi" w:hAnsiTheme="minorHAnsi"/>
          <w:i/>
        </w:rPr>
      </w:pPr>
      <w:r w:rsidRPr="0027326F">
        <w:rPr>
          <w:rFonts w:asciiTheme="minorHAnsi" w:hAnsiTheme="minorHAnsi"/>
          <w:i/>
        </w:rPr>
        <w:t>Sources: OECD 2009; LIS Database</w:t>
      </w:r>
    </w:p>
    <w:p w14:paraId="215C8710" w14:textId="77777777" w:rsidR="00842C67" w:rsidRPr="001B0636" w:rsidRDefault="00842C67" w:rsidP="00F37D89">
      <w:pPr>
        <w:rPr>
          <w:rFonts w:asciiTheme="minorHAnsi" w:hAnsiTheme="minorHAnsi"/>
          <w:i/>
        </w:rPr>
      </w:pPr>
    </w:p>
    <w:p w14:paraId="75B641CF" w14:textId="77777777" w:rsidR="00842C67" w:rsidRPr="0027326F" w:rsidRDefault="00842C67" w:rsidP="00F37D89">
      <w:pPr>
        <w:rPr>
          <w:rFonts w:asciiTheme="minorHAnsi" w:hAnsiTheme="minorHAnsi"/>
          <w:i/>
        </w:rPr>
      </w:pPr>
    </w:p>
    <w:p w14:paraId="6C078999" w14:textId="77777777" w:rsidR="00FB75B9" w:rsidRPr="00A93E33" w:rsidRDefault="00AB20F6" w:rsidP="00D23ECB">
      <w:pPr>
        <w:rPr>
          <w:rFonts w:asciiTheme="minorHAnsi" w:hAnsiTheme="minorHAnsi"/>
        </w:rPr>
      </w:pPr>
      <w:r>
        <w:rPr>
          <w:rFonts w:asciiTheme="minorHAnsi" w:hAnsiTheme="minorHAnsi"/>
        </w:rPr>
        <w:t xml:space="preserve">          </w:t>
      </w:r>
      <w:r w:rsidR="00842C67" w:rsidRPr="0027326F">
        <w:rPr>
          <w:rFonts w:asciiTheme="minorHAnsi" w:hAnsiTheme="minorHAnsi"/>
        </w:rPr>
        <w:t xml:space="preserve">The spotty picture in </w:t>
      </w:r>
      <w:r w:rsidR="005A5A00">
        <w:rPr>
          <w:rFonts w:asciiTheme="minorHAnsi" w:hAnsiTheme="minorHAnsi"/>
        </w:rPr>
        <w:t>T</w:t>
      </w:r>
      <w:r w:rsidR="00842C67" w:rsidRPr="0027326F">
        <w:rPr>
          <w:rFonts w:asciiTheme="minorHAnsi" w:hAnsiTheme="minorHAnsi"/>
        </w:rPr>
        <w:t xml:space="preserve">able 1 </w:t>
      </w:r>
      <w:r w:rsidR="00DC6295">
        <w:rPr>
          <w:rFonts w:asciiTheme="minorHAnsi" w:hAnsiTheme="minorHAnsi"/>
        </w:rPr>
        <w:t>suggests</w:t>
      </w:r>
      <w:r w:rsidR="00DC6295" w:rsidRPr="0027326F">
        <w:rPr>
          <w:rFonts w:asciiTheme="minorHAnsi" w:hAnsiTheme="minorHAnsi"/>
        </w:rPr>
        <w:t xml:space="preserve"> </w:t>
      </w:r>
      <w:r w:rsidR="00842C67" w:rsidRPr="0027326F">
        <w:rPr>
          <w:rFonts w:asciiTheme="minorHAnsi" w:hAnsiTheme="minorHAnsi"/>
        </w:rPr>
        <w:t>bad news for the poor in the developing world.</w:t>
      </w:r>
      <w:r w:rsidR="00405891">
        <w:rPr>
          <w:rFonts w:asciiTheme="minorHAnsi" w:hAnsiTheme="minorHAnsi"/>
        </w:rPr>
        <w:t xml:space="preserve"> </w:t>
      </w:r>
      <w:r w:rsidR="00842C67" w:rsidRPr="0027326F">
        <w:rPr>
          <w:rFonts w:asciiTheme="minorHAnsi" w:hAnsiTheme="minorHAnsi"/>
        </w:rPr>
        <w:t xml:space="preserve">Insofar as their governments </w:t>
      </w:r>
      <w:r w:rsidR="00410391">
        <w:rPr>
          <w:rFonts w:asciiTheme="minorHAnsi" w:hAnsiTheme="minorHAnsi"/>
        </w:rPr>
        <w:t xml:space="preserve">have low fiscal capacity, </w:t>
      </w:r>
      <w:r w:rsidR="00842C67" w:rsidRPr="0027326F">
        <w:rPr>
          <w:rFonts w:asciiTheme="minorHAnsi" w:hAnsiTheme="minorHAnsi"/>
        </w:rPr>
        <w:t>large, regressive tax expenditures</w:t>
      </w:r>
      <w:r w:rsidR="00410391">
        <w:rPr>
          <w:rFonts w:asciiTheme="minorHAnsi" w:hAnsiTheme="minorHAnsi"/>
        </w:rPr>
        <w:t xml:space="preserve"> are likely to be attractive tools and</w:t>
      </w:r>
      <w:r w:rsidR="00842C67" w:rsidRPr="0027326F">
        <w:rPr>
          <w:rFonts w:asciiTheme="minorHAnsi" w:hAnsiTheme="minorHAnsi"/>
        </w:rPr>
        <w:t xml:space="preserve"> pro-poor spending will be most limited precisely in the countries where it is most needed.  </w:t>
      </w:r>
      <w:r>
        <w:rPr>
          <w:rFonts w:asciiTheme="minorHAnsi" w:hAnsiTheme="minorHAnsi"/>
        </w:rPr>
        <w:t xml:space="preserve"> </w:t>
      </w:r>
      <w:r w:rsidR="00FB75B9">
        <w:rPr>
          <w:rFonts w:asciiTheme="minorHAnsi" w:hAnsiTheme="minorHAnsi"/>
        </w:rPr>
        <w:t xml:space="preserve">Indeed, </w:t>
      </w:r>
      <w:r>
        <w:rPr>
          <w:rFonts w:asciiTheme="minorHAnsi" w:hAnsiTheme="minorHAnsi"/>
        </w:rPr>
        <w:t xml:space="preserve">existing </w:t>
      </w:r>
      <w:r w:rsidR="00405891">
        <w:rPr>
          <w:rFonts w:asciiTheme="minorHAnsi" w:hAnsiTheme="minorHAnsi"/>
        </w:rPr>
        <w:t xml:space="preserve">evidence </w:t>
      </w:r>
      <w:r w:rsidR="00FB75B9">
        <w:rPr>
          <w:rFonts w:asciiTheme="minorHAnsi" w:hAnsiTheme="minorHAnsi"/>
        </w:rPr>
        <w:t>suggests that tax expenditures are costing the world’s poorest a great deal.</w:t>
      </w:r>
      <w:r w:rsidR="001E5125">
        <w:rPr>
          <w:rStyle w:val="FootnoteReference"/>
          <w:rFonts w:asciiTheme="minorHAnsi" w:hAnsiTheme="minorHAnsi"/>
        </w:rPr>
        <w:footnoteReference w:id="8"/>
      </w:r>
      <w:r w:rsidR="00FB75B9">
        <w:rPr>
          <w:rFonts w:asciiTheme="minorHAnsi" w:hAnsiTheme="minorHAnsi"/>
        </w:rPr>
        <w:t xml:space="preserve"> A recent report by Action Aid and Tax Justice Network-Africa (2012) </w:t>
      </w:r>
      <w:r>
        <w:rPr>
          <w:rFonts w:asciiTheme="minorHAnsi" w:hAnsiTheme="minorHAnsi"/>
        </w:rPr>
        <w:t xml:space="preserve">implies </w:t>
      </w:r>
      <w:r w:rsidR="00FB75B9">
        <w:rPr>
          <w:rFonts w:asciiTheme="minorHAnsi" w:hAnsiTheme="minorHAnsi"/>
        </w:rPr>
        <w:t xml:space="preserve">that Uganda could double </w:t>
      </w:r>
      <w:r w:rsidR="00DC6295">
        <w:rPr>
          <w:rFonts w:asciiTheme="minorHAnsi" w:hAnsiTheme="minorHAnsi"/>
        </w:rPr>
        <w:t>its</w:t>
      </w:r>
      <w:r w:rsidR="00FB75B9">
        <w:rPr>
          <w:rFonts w:asciiTheme="minorHAnsi" w:hAnsiTheme="minorHAnsi"/>
        </w:rPr>
        <w:t xml:space="preserve"> health budgets with the revenues that are foregone by tax expenditures, and Rwanda’s lost revenues amount to 4.7</w:t>
      </w:r>
      <w:r w:rsidR="009334E5">
        <w:rPr>
          <w:rFonts w:asciiTheme="minorHAnsi" w:hAnsiTheme="minorHAnsi"/>
        </w:rPr>
        <w:t xml:space="preserve"> percent of GDP</w:t>
      </w:r>
      <w:r w:rsidR="00FB75B9">
        <w:rPr>
          <w:rFonts w:asciiTheme="minorHAnsi" w:hAnsiTheme="minorHAnsi"/>
        </w:rPr>
        <w:t xml:space="preserve">. </w:t>
      </w:r>
      <w:r w:rsidR="00FC50E4">
        <w:rPr>
          <w:rFonts w:asciiTheme="minorHAnsi" w:hAnsiTheme="minorHAnsi"/>
        </w:rPr>
        <w:t xml:space="preserve">Even in a higher fiscal capacity country like Turkey, tax expenditures have been reported at 5 percent of GDP (Swift 2006). </w:t>
      </w:r>
      <w:r w:rsidR="00FB75B9">
        <w:rPr>
          <w:rFonts w:asciiTheme="minorHAnsi" w:hAnsiTheme="minorHAnsi"/>
        </w:rPr>
        <w:t xml:space="preserve">In the absence of </w:t>
      </w:r>
      <w:r w:rsidR="00D23ECB">
        <w:rPr>
          <w:rFonts w:asciiTheme="minorHAnsi" w:hAnsiTheme="minorHAnsi"/>
        </w:rPr>
        <w:t xml:space="preserve">systematic data on tax expenditures, it is hard to be sure, but there is growing circumstantial evidence that much of these tax expenditures are associated with </w:t>
      </w:r>
      <w:r w:rsidR="00A068CE">
        <w:rPr>
          <w:rFonts w:asciiTheme="minorHAnsi" w:hAnsiTheme="minorHAnsi"/>
        </w:rPr>
        <w:t xml:space="preserve">tax competition and </w:t>
      </w:r>
      <w:r w:rsidR="00D23ECB">
        <w:rPr>
          <w:rFonts w:asciiTheme="minorHAnsi" w:hAnsiTheme="minorHAnsi"/>
        </w:rPr>
        <w:t>an attempt to attract foreign direct investment</w:t>
      </w:r>
      <w:r w:rsidR="00A068CE">
        <w:rPr>
          <w:rFonts w:asciiTheme="minorHAnsi" w:hAnsiTheme="minorHAnsi"/>
        </w:rPr>
        <w:t xml:space="preserve"> (Keen and Mansour 2009)</w:t>
      </w:r>
      <w:r w:rsidR="00D23ECB">
        <w:rPr>
          <w:rFonts w:asciiTheme="minorHAnsi" w:hAnsiTheme="minorHAnsi"/>
        </w:rPr>
        <w:t xml:space="preserve">. </w:t>
      </w:r>
      <w:r w:rsidR="00FB75B9">
        <w:rPr>
          <w:rFonts w:asciiTheme="minorHAnsi" w:hAnsiTheme="minorHAnsi"/>
        </w:rPr>
        <w:t xml:space="preserve"> </w:t>
      </w:r>
    </w:p>
    <w:p w14:paraId="7836A5E5" w14:textId="77777777" w:rsidR="000E28E9" w:rsidRPr="0027326F" w:rsidRDefault="000E28E9" w:rsidP="00F37D89">
      <w:pPr>
        <w:rPr>
          <w:rFonts w:asciiTheme="minorHAnsi" w:hAnsiTheme="minorHAnsi"/>
          <w:i/>
        </w:rPr>
      </w:pPr>
    </w:p>
    <w:p w14:paraId="63873102" w14:textId="77777777" w:rsidR="00F37D89" w:rsidRPr="0027326F" w:rsidRDefault="005A5A00" w:rsidP="00F37D89">
      <w:pPr>
        <w:rPr>
          <w:rFonts w:asciiTheme="minorHAnsi" w:hAnsiTheme="minorHAnsi"/>
        </w:rPr>
      </w:pPr>
      <w:r>
        <w:rPr>
          <w:rFonts w:asciiTheme="minorHAnsi" w:hAnsiTheme="minorHAnsi"/>
          <w:i/>
        </w:rPr>
        <w:t>3</w:t>
      </w:r>
      <w:r w:rsidR="00F37D89" w:rsidRPr="0027326F">
        <w:rPr>
          <w:rFonts w:asciiTheme="minorHAnsi" w:hAnsiTheme="minorHAnsi"/>
          <w:i/>
        </w:rPr>
        <w:t>. Conclusion</w:t>
      </w:r>
    </w:p>
    <w:p w14:paraId="54700C71" w14:textId="77777777" w:rsidR="0034673A" w:rsidRPr="0027326F" w:rsidRDefault="0034673A" w:rsidP="00F37D89">
      <w:pPr>
        <w:rPr>
          <w:rFonts w:asciiTheme="minorHAnsi" w:hAnsiTheme="minorHAnsi"/>
        </w:rPr>
      </w:pPr>
    </w:p>
    <w:p w14:paraId="699A2869" w14:textId="77777777" w:rsidR="005A5A00" w:rsidRDefault="005B5776" w:rsidP="005A5A00">
      <w:pPr>
        <w:ind w:firstLine="720"/>
        <w:rPr>
          <w:rFonts w:asciiTheme="minorHAnsi" w:hAnsiTheme="minorHAnsi"/>
        </w:rPr>
      </w:pPr>
      <w:r w:rsidRPr="0027326F">
        <w:rPr>
          <w:rFonts w:asciiTheme="minorHAnsi" w:hAnsiTheme="minorHAnsi"/>
        </w:rPr>
        <w:t>Redistributive incidence reflects the fiscal capacity</w:t>
      </w:r>
      <w:r w:rsidR="00405891">
        <w:rPr>
          <w:rFonts w:asciiTheme="minorHAnsi" w:hAnsiTheme="minorHAnsi"/>
        </w:rPr>
        <w:t xml:space="preserve"> and</w:t>
      </w:r>
      <w:r w:rsidR="00A93E33">
        <w:rPr>
          <w:rFonts w:asciiTheme="minorHAnsi" w:hAnsiTheme="minorHAnsi"/>
        </w:rPr>
        <w:t xml:space="preserve"> </w:t>
      </w:r>
      <w:r w:rsidRPr="0027326F">
        <w:rPr>
          <w:rFonts w:asciiTheme="minorHAnsi" w:hAnsiTheme="minorHAnsi"/>
        </w:rPr>
        <w:t xml:space="preserve">the political taste for progressivity in a </w:t>
      </w:r>
      <w:r w:rsidR="00DC6295">
        <w:rPr>
          <w:rFonts w:asciiTheme="minorHAnsi" w:hAnsiTheme="minorHAnsi"/>
        </w:rPr>
        <w:t>country</w:t>
      </w:r>
      <w:r w:rsidRPr="0027326F">
        <w:rPr>
          <w:rFonts w:asciiTheme="minorHAnsi" w:hAnsiTheme="minorHAnsi"/>
        </w:rPr>
        <w:t xml:space="preserve">. Focusing on one or the other in isolation leads to missing </w:t>
      </w:r>
      <w:r w:rsidR="00A2146A">
        <w:rPr>
          <w:rFonts w:asciiTheme="minorHAnsi" w:hAnsiTheme="minorHAnsi"/>
        </w:rPr>
        <w:t>half</w:t>
      </w:r>
      <w:r w:rsidRPr="0027326F">
        <w:rPr>
          <w:rFonts w:asciiTheme="minorHAnsi" w:hAnsiTheme="minorHAnsi"/>
        </w:rPr>
        <w:t xml:space="preserve"> the data generating process. </w:t>
      </w:r>
      <w:r w:rsidR="00A2146A">
        <w:rPr>
          <w:rFonts w:asciiTheme="minorHAnsi" w:hAnsiTheme="minorHAnsi"/>
        </w:rPr>
        <w:t>F</w:t>
      </w:r>
      <w:r w:rsidR="005A5A00">
        <w:rPr>
          <w:rFonts w:asciiTheme="minorHAnsi" w:hAnsiTheme="minorHAnsi"/>
        </w:rPr>
        <w:t>iscal</w:t>
      </w:r>
      <w:r w:rsidRPr="0027326F">
        <w:rPr>
          <w:rFonts w:asciiTheme="minorHAnsi" w:hAnsiTheme="minorHAnsi"/>
        </w:rPr>
        <w:t xml:space="preserve"> capacity is </w:t>
      </w:r>
      <w:r w:rsidR="005A5A00">
        <w:rPr>
          <w:rFonts w:asciiTheme="minorHAnsi" w:hAnsiTheme="minorHAnsi"/>
        </w:rPr>
        <w:t xml:space="preserve">a </w:t>
      </w:r>
      <w:r w:rsidRPr="0027326F">
        <w:rPr>
          <w:rFonts w:asciiTheme="minorHAnsi" w:hAnsiTheme="minorHAnsi"/>
        </w:rPr>
        <w:t xml:space="preserve">necessary condition for pro-poor redistribution. In its absence, </w:t>
      </w:r>
      <w:r w:rsidR="00A93E33">
        <w:rPr>
          <w:rFonts w:asciiTheme="minorHAnsi" w:hAnsiTheme="minorHAnsi"/>
        </w:rPr>
        <w:t xml:space="preserve">any impact </w:t>
      </w:r>
      <w:r w:rsidRPr="0027326F">
        <w:rPr>
          <w:rFonts w:asciiTheme="minorHAnsi" w:hAnsiTheme="minorHAnsi"/>
        </w:rPr>
        <w:t>globalization</w:t>
      </w:r>
      <w:r w:rsidR="00A93E33">
        <w:rPr>
          <w:rFonts w:asciiTheme="minorHAnsi" w:hAnsiTheme="minorHAnsi"/>
        </w:rPr>
        <w:t xml:space="preserve"> might have</w:t>
      </w:r>
      <w:r w:rsidRPr="0027326F">
        <w:rPr>
          <w:rFonts w:asciiTheme="minorHAnsi" w:hAnsiTheme="minorHAnsi"/>
        </w:rPr>
        <w:t xml:space="preserve"> </w:t>
      </w:r>
      <w:r w:rsidR="00A93E33">
        <w:rPr>
          <w:rFonts w:asciiTheme="minorHAnsi" w:hAnsiTheme="minorHAnsi"/>
        </w:rPr>
        <w:t xml:space="preserve">on </w:t>
      </w:r>
      <w:r w:rsidRPr="0027326F">
        <w:rPr>
          <w:rFonts w:asciiTheme="minorHAnsi" w:hAnsiTheme="minorHAnsi"/>
        </w:rPr>
        <w:t xml:space="preserve">the poor </w:t>
      </w:r>
      <w:r w:rsidR="00A93E33">
        <w:rPr>
          <w:rFonts w:asciiTheme="minorHAnsi" w:hAnsiTheme="minorHAnsi"/>
        </w:rPr>
        <w:t xml:space="preserve">is unlikely to be mediated by </w:t>
      </w:r>
      <w:r w:rsidR="00894110">
        <w:rPr>
          <w:rFonts w:asciiTheme="minorHAnsi" w:hAnsiTheme="minorHAnsi"/>
        </w:rPr>
        <w:t>the formal budget process, even if tax expenditures might play an important role in limiting the capacity of governments to collect revenues which could be targeted at the poor</w:t>
      </w:r>
      <w:r w:rsidRPr="0027326F">
        <w:rPr>
          <w:rFonts w:asciiTheme="minorHAnsi" w:hAnsiTheme="minorHAnsi"/>
        </w:rPr>
        <w:t xml:space="preserve">. For </w:t>
      </w:r>
      <w:r w:rsidR="0097488C">
        <w:rPr>
          <w:rFonts w:asciiTheme="minorHAnsi" w:hAnsiTheme="minorHAnsi"/>
        </w:rPr>
        <w:t>countries with greater fiscal capacity, there is a growing tension between any potential desire for progressivity and the need to compete for footloose capital. To the extent the latter results in reliance on regressive tax expenditures,</w:t>
      </w:r>
      <w:r w:rsidRPr="0027326F">
        <w:rPr>
          <w:rFonts w:asciiTheme="minorHAnsi" w:hAnsiTheme="minorHAnsi"/>
        </w:rPr>
        <w:t xml:space="preserve"> </w:t>
      </w:r>
      <w:r w:rsidR="0097488C">
        <w:rPr>
          <w:rFonts w:asciiTheme="minorHAnsi" w:hAnsiTheme="minorHAnsi"/>
        </w:rPr>
        <w:t>globalization is</w:t>
      </w:r>
      <w:r w:rsidRPr="0027326F">
        <w:rPr>
          <w:rFonts w:asciiTheme="minorHAnsi" w:hAnsiTheme="minorHAnsi"/>
        </w:rPr>
        <w:t xml:space="preserve"> likely to worsen the relative position of the poor.</w:t>
      </w:r>
    </w:p>
    <w:p w14:paraId="5A0D2A6C" w14:textId="77777777" w:rsidR="008E1304" w:rsidRPr="0027326F" w:rsidRDefault="008E1304" w:rsidP="005A5A00">
      <w:pPr>
        <w:ind w:firstLine="720"/>
        <w:rPr>
          <w:rFonts w:asciiTheme="minorHAnsi" w:hAnsiTheme="minorHAnsi"/>
        </w:rPr>
      </w:pPr>
    </w:p>
    <w:p w14:paraId="462148C0" w14:textId="77777777" w:rsidR="000E28E9" w:rsidRDefault="005B5776" w:rsidP="00EE19AF">
      <w:pPr>
        <w:ind w:firstLine="720"/>
        <w:rPr>
          <w:rFonts w:asciiTheme="minorHAnsi" w:hAnsiTheme="minorHAnsi"/>
        </w:rPr>
      </w:pPr>
      <w:r w:rsidRPr="0027326F">
        <w:rPr>
          <w:rFonts w:asciiTheme="minorHAnsi" w:hAnsiTheme="minorHAnsi"/>
        </w:rPr>
        <w:t xml:space="preserve">Taking incidence seriously </w:t>
      </w:r>
      <w:r w:rsidR="00894110">
        <w:rPr>
          <w:rFonts w:asciiTheme="minorHAnsi" w:hAnsiTheme="minorHAnsi"/>
        </w:rPr>
        <w:t>has</w:t>
      </w:r>
      <w:r w:rsidRPr="0027326F">
        <w:rPr>
          <w:rFonts w:asciiTheme="minorHAnsi" w:hAnsiTheme="minorHAnsi"/>
        </w:rPr>
        <w:t xml:space="preserve"> important analytical implications </w:t>
      </w:r>
      <w:r w:rsidR="00894110">
        <w:rPr>
          <w:rFonts w:asciiTheme="minorHAnsi" w:hAnsiTheme="minorHAnsi"/>
        </w:rPr>
        <w:t>for</w:t>
      </w:r>
      <w:r w:rsidRPr="0027326F">
        <w:rPr>
          <w:rFonts w:asciiTheme="minorHAnsi" w:hAnsiTheme="minorHAnsi"/>
        </w:rPr>
        <w:t xml:space="preserve"> understand</w:t>
      </w:r>
      <w:r w:rsidR="00894110">
        <w:rPr>
          <w:rFonts w:asciiTheme="minorHAnsi" w:hAnsiTheme="minorHAnsi"/>
        </w:rPr>
        <w:t>ing</w:t>
      </w:r>
      <w:r w:rsidRPr="0027326F">
        <w:rPr>
          <w:rFonts w:asciiTheme="minorHAnsi" w:hAnsiTheme="minorHAnsi"/>
        </w:rPr>
        <w:t xml:space="preserve"> political engagement by the poor (and the rich) in democracies</w:t>
      </w:r>
      <w:r w:rsidR="00894110">
        <w:rPr>
          <w:rFonts w:asciiTheme="minorHAnsi" w:hAnsiTheme="minorHAnsi"/>
        </w:rPr>
        <w:t>. One byproduct of the failure to take incidence seriously is that a growing body of research is</w:t>
      </w:r>
      <w:r w:rsidRPr="0027326F">
        <w:rPr>
          <w:rFonts w:asciiTheme="minorHAnsi" w:hAnsiTheme="minorHAnsi"/>
        </w:rPr>
        <w:t xml:space="preserve"> </w:t>
      </w:r>
      <w:r w:rsidR="00894110">
        <w:rPr>
          <w:rFonts w:asciiTheme="minorHAnsi" w:hAnsiTheme="minorHAnsi"/>
        </w:rPr>
        <w:t xml:space="preserve">attempting to explain the supposedly anomalous taste of the rich in favor of redistribution and the poor’s resistance to it in some countries. </w:t>
      </w:r>
      <w:r w:rsidR="002D0479">
        <w:rPr>
          <w:rFonts w:asciiTheme="minorHAnsi" w:hAnsiTheme="minorHAnsi"/>
        </w:rPr>
        <w:t>C</w:t>
      </w:r>
      <w:r w:rsidR="00894110">
        <w:rPr>
          <w:rFonts w:asciiTheme="minorHAnsi" w:hAnsiTheme="minorHAnsi"/>
        </w:rPr>
        <w:t>ompeting explanations</w:t>
      </w:r>
      <w:r w:rsidR="002D0479">
        <w:rPr>
          <w:rFonts w:asciiTheme="minorHAnsi" w:hAnsiTheme="minorHAnsi"/>
        </w:rPr>
        <w:t xml:space="preserve"> abound</w:t>
      </w:r>
      <w:r w:rsidR="00894110">
        <w:rPr>
          <w:rFonts w:asciiTheme="minorHAnsi" w:hAnsiTheme="minorHAnsi"/>
        </w:rPr>
        <w:t>: The poor are distracted by religious, ethnic or national attachments</w:t>
      </w:r>
      <w:r w:rsidR="00DC6295">
        <w:rPr>
          <w:rFonts w:asciiTheme="minorHAnsi" w:hAnsiTheme="minorHAnsi"/>
        </w:rPr>
        <w:t>;</w:t>
      </w:r>
      <w:r w:rsidR="00894110">
        <w:rPr>
          <w:rFonts w:asciiTheme="minorHAnsi" w:hAnsiTheme="minorHAnsi"/>
        </w:rPr>
        <w:t xml:space="preserve"> they are divided along a deep urban/rural divide; the absence of unions and left parties to articulate the interests of the poor; or that the rich rationally support redistribution in light of its positive externalities for social peace. Yet none of this work takes the incidence of redistribution seriously and fails to recognize the prospect for regressive taxing and expenditure policies. Rather than complicated multidimensional politics, it could simply be that that the rich and poor understand when fiscal policies benefit them</w:t>
      </w:r>
      <w:r w:rsidR="00EE19AF">
        <w:rPr>
          <w:rFonts w:asciiTheme="minorHAnsi" w:hAnsiTheme="minorHAnsi"/>
        </w:rPr>
        <w:t xml:space="preserve"> and when they do not </w:t>
      </w:r>
      <w:r w:rsidRPr="0027326F">
        <w:rPr>
          <w:rFonts w:asciiTheme="minorHAnsi" w:hAnsiTheme="minorHAnsi"/>
        </w:rPr>
        <w:t xml:space="preserve">(Beramendi and </w:t>
      </w:r>
      <w:proofErr w:type="spellStart"/>
      <w:r w:rsidRPr="0027326F">
        <w:rPr>
          <w:rFonts w:asciiTheme="minorHAnsi" w:hAnsiTheme="minorHAnsi"/>
        </w:rPr>
        <w:t>Rehm</w:t>
      </w:r>
      <w:proofErr w:type="spellEnd"/>
      <w:r w:rsidRPr="0027326F">
        <w:rPr>
          <w:rFonts w:asciiTheme="minorHAnsi" w:hAnsiTheme="minorHAnsi"/>
        </w:rPr>
        <w:t xml:space="preserve"> 2014)</w:t>
      </w:r>
      <w:r w:rsidR="00EE19AF">
        <w:rPr>
          <w:rFonts w:asciiTheme="minorHAnsi" w:hAnsiTheme="minorHAnsi"/>
        </w:rPr>
        <w:t>. In countries where fiscal policy is regressive, the poor will no</w:t>
      </w:r>
      <w:r w:rsidR="00EE19AF" w:rsidRPr="00EE19AF">
        <w:rPr>
          <w:rFonts w:asciiTheme="minorHAnsi" w:hAnsiTheme="minorHAnsi"/>
        </w:rPr>
        <w:t>t support redistribution</w:t>
      </w:r>
      <w:r w:rsidR="00EE19AF">
        <w:rPr>
          <w:rFonts w:asciiTheme="minorHAnsi" w:hAnsiTheme="minorHAnsi"/>
        </w:rPr>
        <w:t xml:space="preserve"> while the rich will</w:t>
      </w:r>
      <w:r w:rsidR="002D0479">
        <w:rPr>
          <w:rFonts w:asciiTheme="minorHAnsi" w:hAnsiTheme="minorHAnsi"/>
        </w:rPr>
        <w:t>.</w:t>
      </w:r>
      <w:r w:rsidR="00EE19AF">
        <w:rPr>
          <w:rFonts w:asciiTheme="minorHAnsi" w:hAnsiTheme="minorHAnsi"/>
        </w:rPr>
        <w:t xml:space="preserve"> </w:t>
      </w:r>
      <w:r w:rsidR="00F96AF2">
        <w:rPr>
          <w:rFonts w:asciiTheme="minorHAnsi" w:hAnsiTheme="minorHAnsi"/>
        </w:rPr>
        <w:t>In short, once we take the incidence of taxing and spending seriously, there might not be a mystery at all.</w:t>
      </w:r>
    </w:p>
    <w:p w14:paraId="05F0CD96" w14:textId="77777777" w:rsidR="008E1304" w:rsidRDefault="008E1304" w:rsidP="00EE19AF">
      <w:pPr>
        <w:ind w:firstLine="720"/>
        <w:rPr>
          <w:rFonts w:asciiTheme="minorHAnsi" w:hAnsiTheme="minorHAnsi"/>
        </w:rPr>
      </w:pPr>
    </w:p>
    <w:p w14:paraId="020BB32F" w14:textId="77777777" w:rsidR="00EE19AF" w:rsidRPr="005C2FA5" w:rsidRDefault="00EE19AF" w:rsidP="00EE19AF">
      <w:pPr>
        <w:ind w:firstLine="720"/>
        <w:rPr>
          <w:rFonts w:asciiTheme="minorHAnsi" w:hAnsiTheme="minorHAnsi"/>
        </w:rPr>
      </w:pPr>
      <w:r>
        <w:rPr>
          <w:rFonts w:asciiTheme="minorHAnsi" w:hAnsiTheme="minorHAnsi"/>
        </w:rPr>
        <w:t xml:space="preserve">The implications for future work are </w:t>
      </w:r>
      <w:r w:rsidR="00B37820">
        <w:rPr>
          <w:rFonts w:asciiTheme="minorHAnsi" w:hAnsiTheme="minorHAnsi"/>
        </w:rPr>
        <w:t xml:space="preserve">clear. We </w:t>
      </w:r>
      <w:r w:rsidR="00491AF8">
        <w:rPr>
          <w:rFonts w:asciiTheme="minorHAnsi" w:hAnsiTheme="minorHAnsi"/>
        </w:rPr>
        <w:t>should replace broad and probably insupportable claims on the effect of globalization on pro-poor tax and expenditure policies with more careful analyses of the actual incidence of fiscal policy. The main challenge is that such analysis relies on comparable income surveys that successfully measure the impact of various taxing and spending policies</w:t>
      </w:r>
      <w:r w:rsidR="00825273">
        <w:rPr>
          <w:rFonts w:asciiTheme="minorHAnsi" w:hAnsiTheme="minorHAnsi"/>
        </w:rPr>
        <w:t xml:space="preserve"> across the income distribution. The</w:t>
      </w:r>
      <w:r w:rsidR="00491AF8">
        <w:rPr>
          <w:rFonts w:asciiTheme="minorHAnsi" w:hAnsiTheme="minorHAnsi"/>
        </w:rPr>
        <w:t xml:space="preserve"> LIS asid</w:t>
      </w:r>
      <w:r w:rsidR="00825273">
        <w:rPr>
          <w:rFonts w:asciiTheme="minorHAnsi" w:hAnsiTheme="minorHAnsi"/>
        </w:rPr>
        <w:t>e, the World Bank has</w:t>
      </w:r>
      <w:r w:rsidR="00491AF8">
        <w:rPr>
          <w:rFonts w:asciiTheme="minorHAnsi" w:hAnsiTheme="minorHAnsi"/>
        </w:rPr>
        <w:t xml:space="preserve"> done considerable work in this area. Alas, despite its recent ASPIRE </w:t>
      </w:r>
      <w:proofErr w:type="gramStart"/>
      <w:r w:rsidR="00491AF8">
        <w:rPr>
          <w:rFonts w:asciiTheme="minorHAnsi" w:hAnsiTheme="minorHAnsi"/>
        </w:rPr>
        <w:t>project,</w:t>
      </w:r>
      <w:proofErr w:type="gramEnd"/>
      <w:r w:rsidR="00491AF8">
        <w:rPr>
          <w:rFonts w:asciiTheme="minorHAnsi" w:hAnsiTheme="minorHAnsi"/>
        </w:rPr>
        <w:t xml:space="preserve"> the Bank has not been forthcoming with its large collection of harmonize</w:t>
      </w:r>
      <w:r w:rsidR="00825273">
        <w:rPr>
          <w:rFonts w:asciiTheme="minorHAnsi" w:hAnsiTheme="minorHAnsi"/>
        </w:rPr>
        <w:t>d</w:t>
      </w:r>
      <w:r w:rsidR="00491AF8">
        <w:rPr>
          <w:rFonts w:asciiTheme="minorHAnsi" w:hAnsiTheme="minorHAnsi"/>
        </w:rPr>
        <w:t xml:space="preserve"> income surveys.</w:t>
      </w:r>
      <w:r w:rsidR="00491AF8">
        <w:rPr>
          <w:rStyle w:val="FootnoteReference"/>
          <w:rFonts w:asciiTheme="minorHAnsi" w:hAnsiTheme="minorHAnsi"/>
        </w:rPr>
        <w:footnoteReference w:id="9"/>
      </w:r>
      <w:r w:rsidR="00491AF8">
        <w:rPr>
          <w:rFonts w:asciiTheme="minorHAnsi" w:hAnsiTheme="minorHAnsi"/>
        </w:rPr>
        <w:t xml:space="preserve"> </w:t>
      </w:r>
      <w:r w:rsidR="00825273">
        <w:rPr>
          <w:rFonts w:asciiTheme="minorHAnsi" w:hAnsiTheme="minorHAnsi"/>
        </w:rPr>
        <w:t xml:space="preserve">While awaiting the gradual expansion of the LIS, researchers could put pressure on the World Bank to make its existing income surveys public. In a world where fiscal policy has become a crucial tool for managing the challenges posed by globalizing economic forces, it is crucial that we get serious about understanding how fiscal systems weigh upon the poor. </w:t>
      </w:r>
    </w:p>
    <w:p w14:paraId="15E5D4B0" w14:textId="77777777" w:rsidR="0034673A" w:rsidRPr="001B0636" w:rsidRDefault="0034673A" w:rsidP="00F37D89">
      <w:pPr>
        <w:rPr>
          <w:rFonts w:asciiTheme="minorHAnsi" w:hAnsiTheme="minorHAnsi"/>
        </w:rPr>
      </w:pPr>
    </w:p>
    <w:p w14:paraId="2D1D29C6" w14:textId="77777777" w:rsidR="0034673A" w:rsidRPr="0027326F" w:rsidRDefault="0034673A" w:rsidP="00F37D89">
      <w:pPr>
        <w:rPr>
          <w:rFonts w:asciiTheme="minorHAnsi" w:hAnsiTheme="minorHAnsi"/>
        </w:rPr>
      </w:pPr>
    </w:p>
    <w:p w14:paraId="52D8667F" w14:textId="77777777" w:rsidR="0034673A" w:rsidRPr="0027326F" w:rsidRDefault="0034673A" w:rsidP="00F37D89">
      <w:pPr>
        <w:rPr>
          <w:rFonts w:asciiTheme="minorHAnsi" w:hAnsiTheme="minorHAnsi"/>
        </w:rPr>
      </w:pPr>
    </w:p>
    <w:p w14:paraId="52E1009C" w14:textId="77777777" w:rsidR="0034673A" w:rsidRPr="0027326F" w:rsidRDefault="0034673A">
      <w:pPr>
        <w:rPr>
          <w:rFonts w:asciiTheme="minorHAnsi" w:hAnsiTheme="minorHAnsi"/>
        </w:rPr>
      </w:pPr>
      <w:r w:rsidRPr="0027326F">
        <w:rPr>
          <w:rFonts w:asciiTheme="minorHAnsi" w:hAnsiTheme="minorHAnsi"/>
        </w:rPr>
        <w:br w:type="page"/>
      </w:r>
    </w:p>
    <w:p w14:paraId="1CE13EC9" w14:textId="77777777" w:rsidR="0034673A" w:rsidRPr="0027326F" w:rsidRDefault="0034673A" w:rsidP="00F37D89">
      <w:pPr>
        <w:rPr>
          <w:rFonts w:asciiTheme="minorHAnsi" w:hAnsiTheme="minorHAnsi"/>
        </w:rPr>
      </w:pPr>
    </w:p>
    <w:p w14:paraId="08325DE5" w14:textId="77777777" w:rsidR="00A34680" w:rsidRDefault="00A34680" w:rsidP="00FD0518">
      <w:pPr>
        <w:rPr>
          <w:rFonts w:asciiTheme="minorHAnsi" w:hAnsiTheme="minorHAnsi"/>
        </w:rPr>
      </w:pPr>
      <w:r>
        <w:rPr>
          <w:rFonts w:asciiTheme="minorHAnsi" w:hAnsiTheme="minorHAnsi"/>
        </w:rPr>
        <w:t>References</w:t>
      </w:r>
    </w:p>
    <w:p w14:paraId="0F48C880" w14:textId="77777777" w:rsidR="00A34680" w:rsidRDefault="00A34680" w:rsidP="00FD0518">
      <w:pPr>
        <w:rPr>
          <w:rFonts w:asciiTheme="minorHAnsi" w:hAnsiTheme="minorHAnsi"/>
        </w:rPr>
      </w:pPr>
    </w:p>
    <w:p w14:paraId="764093B7" w14:textId="77777777" w:rsidR="00A93E33" w:rsidRDefault="00A93E33" w:rsidP="00FD0518">
      <w:pPr>
        <w:rPr>
          <w:rFonts w:asciiTheme="minorHAnsi" w:hAnsiTheme="minorHAnsi"/>
        </w:rPr>
      </w:pPr>
      <w:proofErr w:type="spellStart"/>
      <w:r>
        <w:rPr>
          <w:rFonts w:asciiTheme="minorHAnsi" w:hAnsiTheme="minorHAnsi"/>
        </w:rPr>
        <w:t>ActionAid</w:t>
      </w:r>
      <w:proofErr w:type="spellEnd"/>
      <w:r>
        <w:rPr>
          <w:rFonts w:asciiTheme="minorHAnsi" w:hAnsiTheme="minorHAnsi"/>
        </w:rPr>
        <w:t xml:space="preserve"> International and Tax Justice Network-Africa. 2012. “Tax Competition in East Africa: A Race to the Bottom?” Report available </w:t>
      </w:r>
      <w:proofErr w:type="gramStart"/>
      <w:r>
        <w:rPr>
          <w:rFonts w:asciiTheme="minorHAnsi" w:hAnsiTheme="minorHAnsi"/>
        </w:rPr>
        <w:t>at :</w:t>
      </w:r>
      <w:proofErr w:type="gramEnd"/>
      <w:r>
        <w:rPr>
          <w:rFonts w:asciiTheme="minorHAnsi" w:hAnsiTheme="minorHAnsi"/>
        </w:rPr>
        <w:t xml:space="preserve"> </w:t>
      </w:r>
      <w:hyperlink r:id="rId12" w:history="1">
        <w:r w:rsidRPr="00986EEB">
          <w:rPr>
            <w:rStyle w:val="Hyperlink"/>
            <w:rFonts w:asciiTheme="minorHAnsi" w:hAnsiTheme="minorHAnsi"/>
          </w:rPr>
          <w:t>http://www.actionaidusa.org/sites/files/actionaid/eac_report.pdf</w:t>
        </w:r>
      </w:hyperlink>
    </w:p>
    <w:p w14:paraId="266FBCAF" w14:textId="77777777" w:rsidR="00FD0518" w:rsidRPr="0027326F" w:rsidRDefault="00FD0518" w:rsidP="00FD0518">
      <w:pPr>
        <w:rPr>
          <w:rFonts w:asciiTheme="minorHAnsi" w:hAnsiTheme="minorHAnsi"/>
        </w:rPr>
      </w:pPr>
    </w:p>
    <w:p w14:paraId="27A639F3" w14:textId="77777777" w:rsidR="00FD6733" w:rsidRDefault="00FD6733" w:rsidP="00FD0518">
      <w:pPr>
        <w:rPr>
          <w:rFonts w:asciiTheme="minorHAnsi" w:hAnsiTheme="minorHAnsi"/>
        </w:rPr>
      </w:pPr>
      <w:r>
        <w:rPr>
          <w:rFonts w:asciiTheme="minorHAnsi" w:hAnsiTheme="minorHAnsi"/>
        </w:rPr>
        <w:t xml:space="preserve">Beramendi, Pablo and David </w:t>
      </w:r>
      <w:proofErr w:type="gramStart"/>
      <w:r>
        <w:rPr>
          <w:rFonts w:asciiTheme="minorHAnsi" w:hAnsiTheme="minorHAnsi"/>
        </w:rPr>
        <w:t>Rueda  2007</w:t>
      </w:r>
      <w:proofErr w:type="gramEnd"/>
      <w:r>
        <w:rPr>
          <w:rFonts w:asciiTheme="minorHAnsi" w:hAnsiTheme="minorHAnsi"/>
        </w:rPr>
        <w:t xml:space="preserve"> “Social Democracy Constrained: Indirect Taxation in Industrialized Democracies”  British Journal of Political Science 67: 619-641</w:t>
      </w:r>
    </w:p>
    <w:p w14:paraId="2F09F7D8" w14:textId="77777777" w:rsidR="00FD6733" w:rsidRDefault="00FD6733" w:rsidP="00FD0518">
      <w:pPr>
        <w:rPr>
          <w:rFonts w:asciiTheme="minorHAnsi" w:hAnsiTheme="minorHAnsi"/>
        </w:rPr>
      </w:pPr>
    </w:p>
    <w:p w14:paraId="2C75E7C5" w14:textId="77777777" w:rsidR="00FD0518" w:rsidRDefault="00FD0518" w:rsidP="00FD0518">
      <w:pPr>
        <w:rPr>
          <w:rFonts w:asciiTheme="minorHAnsi" w:hAnsiTheme="minorHAnsi"/>
        </w:rPr>
      </w:pPr>
      <w:r w:rsidRPr="0027326F">
        <w:rPr>
          <w:rFonts w:asciiTheme="minorHAnsi" w:hAnsiTheme="minorHAnsi"/>
        </w:rPr>
        <w:t xml:space="preserve">Beramendi, Pablo and Philipp </w:t>
      </w:r>
      <w:proofErr w:type="spellStart"/>
      <w:r w:rsidRPr="0027326F">
        <w:rPr>
          <w:rFonts w:asciiTheme="minorHAnsi" w:hAnsiTheme="minorHAnsi"/>
        </w:rPr>
        <w:t>Rehm</w:t>
      </w:r>
      <w:proofErr w:type="spellEnd"/>
      <w:r w:rsidRPr="0027326F">
        <w:rPr>
          <w:rFonts w:asciiTheme="minorHAnsi" w:hAnsiTheme="minorHAnsi"/>
        </w:rPr>
        <w:t xml:space="preserve"> 2014 “Who gives, who gains? </w:t>
      </w:r>
      <w:proofErr w:type="gramStart"/>
      <w:r w:rsidRPr="0027326F">
        <w:rPr>
          <w:rFonts w:asciiTheme="minorHAnsi" w:hAnsiTheme="minorHAnsi"/>
        </w:rPr>
        <w:t>Progressivity and Preferences” Manuscript.</w:t>
      </w:r>
      <w:proofErr w:type="gramEnd"/>
      <w:r w:rsidRPr="0027326F">
        <w:rPr>
          <w:rFonts w:asciiTheme="minorHAnsi" w:hAnsiTheme="minorHAnsi"/>
        </w:rPr>
        <w:t xml:space="preserve"> </w:t>
      </w:r>
      <w:proofErr w:type="gramStart"/>
      <w:r w:rsidRPr="0027326F">
        <w:rPr>
          <w:rFonts w:asciiTheme="minorHAnsi" w:hAnsiTheme="minorHAnsi"/>
        </w:rPr>
        <w:t>Duke University and Ohio State University</w:t>
      </w:r>
      <w:r w:rsidR="00805B89" w:rsidRPr="0027326F">
        <w:rPr>
          <w:rFonts w:asciiTheme="minorHAnsi" w:hAnsiTheme="minorHAnsi"/>
        </w:rPr>
        <w:t>.</w:t>
      </w:r>
      <w:proofErr w:type="gramEnd"/>
    </w:p>
    <w:p w14:paraId="4249434A" w14:textId="77777777" w:rsidR="00805B89" w:rsidRPr="0027326F" w:rsidRDefault="00805B89" w:rsidP="00FD0518">
      <w:pPr>
        <w:rPr>
          <w:rFonts w:asciiTheme="minorHAnsi" w:hAnsiTheme="minorHAnsi"/>
        </w:rPr>
      </w:pPr>
    </w:p>
    <w:p w14:paraId="0FA735BE" w14:textId="77777777" w:rsidR="00805B89" w:rsidRPr="0027326F" w:rsidRDefault="00805B89" w:rsidP="00805B89">
      <w:pPr>
        <w:rPr>
          <w:rFonts w:asciiTheme="minorHAnsi" w:hAnsiTheme="minorHAnsi"/>
        </w:rPr>
      </w:pPr>
      <w:r w:rsidRPr="0027326F">
        <w:rPr>
          <w:rFonts w:asciiTheme="minorHAnsi" w:hAnsiTheme="minorHAnsi"/>
        </w:rPr>
        <w:t xml:space="preserve">Cao, </w:t>
      </w:r>
      <w:proofErr w:type="spellStart"/>
      <w:r w:rsidRPr="0027326F">
        <w:rPr>
          <w:rFonts w:asciiTheme="minorHAnsi" w:hAnsiTheme="minorHAnsi"/>
        </w:rPr>
        <w:t>Xun</w:t>
      </w:r>
      <w:proofErr w:type="spellEnd"/>
      <w:r w:rsidRPr="0027326F">
        <w:rPr>
          <w:rFonts w:asciiTheme="minorHAnsi" w:hAnsiTheme="minorHAnsi"/>
        </w:rPr>
        <w:t>. 20</w:t>
      </w:r>
      <w:r w:rsidR="00AC07B5" w:rsidRPr="0027326F">
        <w:rPr>
          <w:rFonts w:asciiTheme="minorHAnsi" w:hAnsiTheme="minorHAnsi"/>
        </w:rPr>
        <w:t>1</w:t>
      </w:r>
      <w:r w:rsidRPr="0027326F">
        <w:rPr>
          <w:rFonts w:asciiTheme="minorHAnsi" w:hAnsiTheme="minorHAnsi"/>
        </w:rPr>
        <w:t>0</w:t>
      </w:r>
      <w:r w:rsidR="00AC07B5" w:rsidRPr="0027326F">
        <w:rPr>
          <w:rFonts w:asciiTheme="minorHAnsi" w:hAnsiTheme="minorHAnsi"/>
        </w:rPr>
        <w:t>. “</w:t>
      </w:r>
      <w:r w:rsidRPr="0027326F">
        <w:rPr>
          <w:rFonts w:asciiTheme="minorHAnsi" w:hAnsiTheme="minorHAnsi"/>
        </w:rPr>
        <w:t>Networks as Channels of Policy Diffusion: Explaining Worldwide Changes in Capital Taxation, 1998–2006</w:t>
      </w:r>
      <w:r w:rsidR="00AC07B5" w:rsidRPr="0027326F">
        <w:rPr>
          <w:rFonts w:asciiTheme="minorHAnsi" w:hAnsiTheme="minorHAnsi"/>
        </w:rPr>
        <w:t xml:space="preserve">.” </w:t>
      </w:r>
      <w:r w:rsidRPr="0027326F">
        <w:rPr>
          <w:rFonts w:asciiTheme="minorHAnsi" w:hAnsiTheme="minorHAnsi"/>
          <w:i/>
        </w:rPr>
        <w:t>International Studies Quarterly</w:t>
      </w:r>
      <w:r w:rsidR="00AC07B5" w:rsidRPr="0027326F">
        <w:rPr>
          <w:rFonts w:asciiTheme="minorHAnsi" w:hAnsiTheme="minorHAnsi"/>
        </w:rPr>
        <w:t xml:space="preserve"> 54: 823-54.</w:t>
      </w:r>
    </w:p>
    <w:p w14:paraId="1CC574EB" w14:textId="77777777" w:rsidR="00FD0518" w:rsidRPr="0027326F" w:rsidRDefault="00FD0518" w:rsidP="00FD0518">
      <w:pPr>
        <w:rPr>
          <w:rFonts w:asciiTheme="minorHAnsi" w:hAnsiTheme="minorHAnsi"/>
        </w:rPr>
      </w:pPr>
    </w:p>
    <w:p w14:paraId="5E232C5E" w14:textId="77777777" w:rsidR="001E5125" w:rsidRDefault="001E5125" w:rsidP="00FD0518">
      <w:pPr>
        <w:rPr>
          <w:rFonts w:asciiTheme="minorHAnsi" w:hAnsiTheme="minorHAnsi"/>
        </w:rPr>
      </w:pPr>
      <w:proofErr w:type="spellStart"/>
      <w:r>
        <w:rPr>
          <w:rFonts w:asciiTheme="minorHAnsi" w:hAnsiTheme="minorHAnsi"/>
        </w:rPr>
        <w:t>Fuest</w:t>
      </w:r>
      <w:proofErr w:type="spellEnd"/>
      <w:r>
        <w:rPr>
          <w:rFonts w:asciiTheme="minorHAnsi" w:hAnsiTheme="minorHAnsi"/>
        </w:rPr>
        <w:t xml:space="preserve">, Clemens and Nadine Riedel. 2009. “Tax Evasion, Tax Avoidance and Tax Expenditures in Developing Countries: A Review of the Literature.” Report prepared for the UK Department for International Development. </w:t>
      </w:r>
    </w:p>
    <w:p w14:paraId="0669F98E" w14:textId="77777777" w:rsidR="00FD6733" w:rsidRDefault="00FD6733" w:rsidP="00FD0518">
      <w:pPr>
        <w:rPr>
          <w:rFonts w:asciiTheme="minorHAnsi" w:hAnsiTheme="minorHAnsi"/>
        </w:rPr>
      </w:pPr>
    </w:p>
    <w:p w14:paraId="2A97632D" w14:textId="77777777" w:rsidR="00FD6733" w:rsidRDefault="00FD6733" w:rsidP="00FD0518">
      <w:pPr>
        <w:rPr>
          <w:rFonts w:asciiTheme="minorHAnsi" w:hAnsiTheme="minorHAnsi"/>
        </w:rPr>
      </w:pPr>
      <w:proofErr w:type="gramStart"/>
      <w:r>
        <w:rPr>
          <w:rFonts w:asciiTheme="minorHAnsi" w:hAnsiTheme="minorHAnsi"/>
        </w:rPr>
        <w:t>Huber, Evelyn and John Stephens 2001.</w:t>
      </w:r>
      <w:proofErr w:type="gramEnd"/>
      <w:r>
        <w:rPr>
          <w:rFonts w:asciiTheme="minorHAnsi" w:hAnsiTheme="minorHAnsi"/>
        </w:rPr>
        <w:t xml:space="preserve"> </w:t>
      </w:r>
      <w:proofErr w:type="gramStart"/>
      <w:r w:rsidRPr="0097488C">
        <w:rPr>
          <w:rFonts w:asciiTheme="minorHAnsi" w:hAnsiTheme="minorHAnsi"/>
          <w:i/>
        </w:rPr>
        <w:t>Development and Crisis of the Welfare State</w:t>
      </w:r>
      <w:r>
        <w:rPr>
          <w:rFonts w:asciiTheme="minorHAnsi" w:hAnsiTheme="minorHAnsi"/>
        </w:rPr>
        <w:t>.</w:t>
      </w:r>
      <w:proofErr w:type="gramEnd"/>
      <w:r>
        <w:rPr>
          <w:rFonts w:asciiTheme="minorHAnsi" w:hAnsiTheme="minorHAnsi"/>
        </w:rPr>
        <w:t xml:space="preserve"> </w:t>
      </w:r>
      <w:proofErr w:type="gramStart"/>
      <w:r>
        <w:rPr>
          <w:rFonts w:asciiTheme="minorHAnsi" w:hAnsiTheme="minorHAnsi"/>
        </w:rPr>
        <w:t>University of Chicago Press.</w:t>
      </w:r>
      <w:proofErr w:type="gramEnd"/>
    </w:p>
    <w:p w14:paraId="0CC47DBB" w14:textId="77777777" w:rsidR="001E5125" w:rsidRDefault="001E5125" w:rsidP="00FD0518">
      <w:pPr>
        <w:rPr>
          <w:rFonts w:asciiTheme="minorHAnsi" w:hAnsiTheme="minorHAnsi"/>
        </w:rPr>
      </w:pPr>
    </w:p>
    <w:p w14:paraId="6918343D" w14:textId="77777777" w:rsidR="0034673A" w:rsidRPr="0027326F" w:rsidRDefault="0034673A" w:rsidP="00FD0518">
      <w:pPr>
        <w:rPr>
          <w:rFonts w:asciiTheme="minorHAnsi" w:hAnsiTheme="minorHAnsi"/>
        </w:rPr>
      </w:pPr>
      <w:proofErr w:type="gramStart"/>
      <w:r w:rsidRPr="0027326F">
        <w:rPr>
          <w:rFonts w:asciiTheme="minorHAnsi" w:hAnsiTheme="minorHAnsi"/>
        </w:rPr>
        <w:t>International Monetary Fund.</w:t>
      </w:r>
      <w:proofErr w:type="gramEnd"/>
      <w:r w:rsidRPr="0027326F">
        <w:rPr>
          <w:rFonts w:asciiTheme="minorHAnsi" w:hAnsiTheme="minorHAnsi"/>
        </w:rPr>
        <w:t xml:space="preserve"> 2014. </w:t>
      </w:r>
      <w:r w:rsidRPr="0027326F">
        <w:rPr>
          <w:rFonts w:asciiTheme="minorHAnsi" w:hAnsiTheme="minorHAnsi"/>
          <w:i/>
        </w:rPr>
        <w:t>Government Finance Statistics Manual 2014: Pre-publication Draft</w:t>
      </w:r>
      <w:r w:rsidRPr="0027326F">
        <w:rPr>
          <w:rFonts w:asciiTheme="minorHAnsi" w:hAnsiTheme="minorHAnsi"/>
        </w:rPr>
        <w:t xml:space="preserve">. Available at: </w:t>
      </w:r>
      <w:hyperlink r:id="rId13" w:history="1">
        <w:r w:rsidRPr="0027326F">
          <w:rPr>
            <w:rStyle w:val="Hyperlink"/>
            <w:rFonts w:asciiTheme="minorHAnsi" w:hAnsiTheme="minorHAnsi"/>
          </w:rPr>
          <w:t>https://www.imf.org/external/np/sta/gfsm/pdf/text14.pdf</w:t>
        </w:r>
      </w:hyperlink>
      <w:r w:rsidRPr="0027326F">
        <w:rPr>
          <w:rFonts w:asciiTheme="minorHAnsi" w:hAnsiTheme="minorHAnsi"/>
        </w:rPr>
        <w:t xml:space="preserve"> </w:t>
      </w:r>
    </w:p>
    <w:p w14:paraId="60990909" w14:textId="77777777" w:rsidR="00D640F1" w:rsidRPr="00D640F1" w:rsidRDefault="00D640F1" w:rsidP="00FC0AC4">
      <w:pPr>
        <w:rPr>
          <w:rFonts w:asciiTheme="minorHAnsi" w:hAnsiTheme="minorHAnsi"/>
        </w:rPr>
      </w:pPr>
    </w:p>
    <w:p w14:paraId="69FC884A" w14:textId="77777777" w:rsidR="00681B11" w:rsidRPr="0027326F" w:rsidRDefault="00681B11" w:rsidP="0097488C">
      <w:pPr>
        <w:pStyle w:val="Bibliography"/>
        <w:rPr>
          <w:rFonts w:asciiTheme="minorHAnsi" w:hAnsiTheme="minorHAnsi"/>
        </w:rPr>
      </w:pPr>
      <w:proofErr w:type="spellStart"/>
      <w:r w:rsidRPr="0097488C">
        <w:rPr>
          <w:rFonts w:asciiTheme="minorHAnsi" w:hAnsiTheme="minorHAnsi"/>
        </w:rPr>
        <w:t>Kak</w:t>
      </w:r>
      <w:r w:rsidR="001B43EF">
        <w:rPr>
          <w:rFonts w:asciiTheme="minorHAnsi" w:hAnsiTheme="minorHAnsi"/>
        </w:rPr>
        <w:t>a</w:t>
      </w:r>
      <w:r w:rsidRPr="0097488C">
        <w:rPr>
          <w:rFonts w:asciiTheme="minorHAnsi" w:hAnsiTheme="minorHAnsi"/>
        </w:rPr>
        <w:t>wani</w:t>
      </w:r>
      <w:proofErr w:type="spellEnd"/>
      <w:r w:rsidRPr="0097488C">
        <w:rPr>
          <w:rFonts w:asciiTheme="minorHAnsi" w:hAnsiTheme="minorHAnsi"/>
        </w:rPr>
        <w:t xml:space="preserve">, Nanak C. 1977. “Measurement of Tax Progressivity: An International Comparison.” </w:t>
      </w:r>
      <w:proofErr w:type="gramStart"/>
      <w:r w:rsidRPr="0097488C">
        <w:rPr>
          <w:rFonts w:asciiTheme="minorHAnsi" w:hAnsiTheme="minorHAnsi"/>
          <w:i/>
          <w:iCs/>
        </w:rPr>
        <w:t>The Economic Journal</w:t>
      </w:r>
      <w:r w:rsidRPr="0097488C">
        <w:rPr>
          <w:rFonts w:asciiTheme="minorHAnsi" w:hAnsiTheme="minorHAnsi"/>
        </w:rPr>
        <w:t xml:space="preserve"> 87(345): 71–80.</w:t>
      </w:r>
      <w:proofErr w:type="gramEnd"/>
    </w:p>
    <w:p w14:paraId="18057FE9" w14:textId="77777777" w:rsidR="00FD0518" w:rsidRDefault="00FD0518" w:rsidP="0097488C">
      <w:pPr>
        <w:rPr>
          <w:rFonts w:asciiTheme="minorHAnsi" w:hAnsiTheme="minorHAnsi"/>
        </w:rPr>
      </w:pPr>
    </w:p>
    <w:p w14:paraId="2608DF3E" w14:textId="77777777" w:rsidR="00A068CE" w:rsidRDefault="00A068CE" w:rsidP="0097488C">
      <w:pPr>
        <w:rPr>
          <w:rFonts w:asciiTheme="minorHAnsi" w:hAnsiTheme="minorHAnsi"/>
        </w:rPr>
      </w:pPr>
      <w:r>
        <w:rPr>
          <w:rFonts w:asciiTheme="minorHAnsi" w:hAnsiTheme="minorHAnsi"/>
        </w:rPr>
        <w:t xml:space="preserve">Keen, Michael and Mario Mansour. 2009. “Revenue Mobilization in Sub-Saharan Africa: Challenges from Globalization.” </w:t>
      </w:r>
      <w:proofErr w:type="gramStart"/>
      <w:r>
        <w:rPr>
          <w:rFonts w:asciiTheme="minorHAnsi" w:hAnsiTheme="minorHAnsi"/>
        </w:rPr>
        <w:t>IMF Working Paper 157.</w:t>
      </w:r>
      <w:proofErr w:type="gramEnd"/>
      <w:r>
        <w:rPr>
          <w:rFonts w:asciiTheme="minorHAnsi" w:hAnsiTheme="minorHAnsi"/>
        </w:rPr>
        <w:t xml:space="preserve">  </w:t>
      </w:r>
    </w:p>
    <w:p w14:paraId="3D691FF2" w14:textId="77777777" w:rsidR="007379AB" w:rsidRPr="0027326F" w:rsidRDefault="007379AB" w:rsidP="00FD0518">
      <w:pPr>
        <w:rPr>
          <w:rFonts w:asciiTheme="minorHAnsi" w:hAnsiTheme="minorHAnsi"/>
        </w:rPr>
      </w:pPr>
    </w:p>
    <w:p w14:paraId="04FB5944" w14:textId="77777777" w:rsidR="007379AB" w:rsidRDefault="007379AB" w:rsidP="00FD0518">
      <w:pPr>
        <w:rPr>
          <w:rFonts w:asciiTheme="minorHAnsi" w:hAnsiTheme="minorHAnsi"/>
        </w:rPr>
      </w:pPr>
      <w:proofErr w:type="spellStart"/>
      <w:r w:rsidRPr="005C2FA5">
        <w:rPr>
          <w:rFonts w:asciiTheme="minorHAnsi" w:hAnsiTheme="minorHAnsi"/>
        </w:rPr>
        <w:t>Solt</w:t>
      </w:r>
      <w:proofErr w:type="spellEnd"/>
      <w:r w:rsidRPr="005C2FA5">
        <w:rPr>
          <w:rFonts w:asciiTheme="minorHAnsi" w:hAnsiTheme="minorHAnsi"/>
        </w:rPr>
        <w:t xml:space="preserve">, Frederick 2009. Standardizing the world income inequality database. </w:t>
      </w:r>
      <w:proofErr w:type="gramStart"/>
      <w:r w:rsidRPr="001B0636">
        <w:rPr>
          <w:rFonts w:asciiTheme="minorHAnsi" w:hAnsiTheme="minorHAnsi"/>
          <w:i/>
        </w:rPr>
        <w:t>Social Science Quarterly</w:t>
      </w:r>
      <w:r w:rsidRPr="0027326F">
        <w:rPr>
          <w:rFonts w:asciiTheme="minorHAnsi" w:hAnsiTheme="minorHAnsi"/>
        </w:rPr>
        <w:t>, 90 (2), 231</w:t>
      </w:r>
      <w:r w:rsidRPr="0027326F">
        <w:rPr>
          <w:rFonts w:asciiTheme="minorHAnsi" w:hAnsiTheme="minorHAnsi" w:cs="Helvetica"/>
        </w:rPr>
        <w:t>-</w:t>
      </w:r>
      <w:r w:rsidRPr="0027326F">
        <w:rPr>
          <w:rFonts w:asciiTheme="minorHAnsi" w:hAnsiTheme="minorHAnsi"/>
        </w:rPr>
        <w:t>242.</w:t>
      </w:r>
      <w:proofErr w:type="gramEnd"/>
      <w:r w:rsidRPr="0027326F">
        <w:rPr>
          <w:rFonts w:asciiTheme="minorHAnsi" w:hAnsiTheme="minorHAnsi"/>
        </w:rPr>
        <w:t xml:space="preserve"> SWIID Version 4.0, September 2013</w:t>
      </w:r>
      <w:r w:rsidR="008B29F4" w:rsidRPr="0027326F">
        <w:rPr>
          <w:rFonts w:asciiTheme="minorHAnsi" w:hAnsiTheme="minorHAnsi"/>
        </w:rPr>
        <w:t xml:space="preserve">. </w:t>
      </w:r>
    </w:p>
    <w:p w14:paraId="399C2AB8" w14:textId="77777777" w:rsidR="00FC50E4" w:rsidRDefault="00FC50E4" w:rsidP="00FD0518">
      <w:pPr>
        <w:rPr>
          <w:rFonts w:asciiTheme="minorHAnsi" w:hAnsiTheme="minorHAnsi"/>
        </w:rPr>
      </w:pPr>
    </w:p>
    <w:p w14:paraId="371FA458" w14:textId="77777777" w:rsidR="00FC50E4" w:rsidRPr="0027326F" w:rsidRDefault="00FC50E4" w:rsidP="00FD0518">
      <w:pPr>
        <w:rPr>
          <w:rFonts w:asciiTheme="minorHAnsi" w:hAnsiTheme="minorHAnsi"/>
        </w:rPr>
      </w:pPr>
      <w:proofErr w:type="gramStart"/>
      <w:r>
        <w:rPr>
          <w:rFonts w:asciiTheme="minorHAnsi" w:hAnsiTheme="minorHAnsi"/>
        </w:rPr>
        <w:t xml:space="preserve">Swift, </w:t>
      </w:r>
      <w:proofErr w:type="spellStart"/>
      <w:r>
        <w:rPr>
          <w:rFonts w:asciiTheme="minorHAnsi" w:hAnsiTheme="minorHAnsi"/>
        </w:rPr>
        <w:t>Zhicheng</w:t>
      </w:r>
      <w:proofErr w:type="spellEnd"/>
      <w:r>
        <w:rPr>
          <w:rFonts w:asciiTheme="minorHAnsi" w:hAnsiTheme="minorHAnsi"/>
        </w:rPr>
        <w:t xml:space="preserve"> Li. 2006.</w:t>
      </w:r>
      <w:proofErr w:type="gramEnd"/>
      <w:r>
        <w:rPr>
          <w:rFonts w:asciiTheme="minorHAnsi" w:hAnsiTheme="minorHAnsi"/>
        </w:rPr>
        <w:t xml:space="preserve"> “Managing the Effects of Tax Expenditures on National Budgets.” </w:t>
      </w:r>
      <w:proofErr w:type="gramStart"/>
      <w:r>
        <w:rPr>
          <w:rFonts w:asciiTheme="minorHAnsi" w:hAnsiTheme="minorHAnsi"/>
        </w:rPr>
        <w:t>World Bank Policy Research Working Paper 3927.</w:t>
      </w:r>
      <w:proofErr w:type="gramEnd"/>
    </w:p>
    <w:p w14:paraId="53F09318" w14:textId="77777777" w:rsidR="007379AB" w:rsidRPr="005C2FA5" w:rsidRDefault="007379AB" w:rsidP="00FC0AC4">
      <w:pPr>
        <w:rPr>
          <w:rFonts w:asciiTheme="minorHAnsi" w:hAnsiTheme="minorHAnsi"/>
        </w:rPr>
      </w:pPr>
    </w:p>
    <w:sectPr w:rsidR="007379AB" w:rsidRPr="005C2FA5" w:rsidSect="008E1D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E0523" w14:textId="77777777" w:rsidR="00FD337B" w:rsidRDefault="00FD337B" w:rsidP="001E22B6">
      <w:r>
        <w:separator/>
      </w:r>
    </w:p>
  </w:endnote>
  <w:endnote w:type="continuationSeparator" w:id="0">
    <w:p w14:paraId="38E4B2F4" w14:textId="77777777" w:rsidR="00FD337B" w:rsidRDefault="00FD337B" w:rsidP="001E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C12C4" w14:textId="77777777" w:rsidR="00FD337B" w:rsidRDefault="00FD337B" w:rsidP="001E22B6">
      <w:r>
        <w:separator/>
      </w:r>
    </w:p>
  </w:footnote>
  <w:footnote w:type="continuationSeparator" w:id="0">
    <w:p w14:paraId="4744E2E6" w14:textId="77777777" w:rsidR="00FD337B" w:rsidRDefault="00FD337B" w:rsidP="001E22B6">
      <w:r>
        <w:continuationSeparator/>
      </w:r>
    </w:p>
  </w:footnote>
  <w:footnote w:id="1">
    <w:p w14:paraId="0BA8764E" w14:textId="77777777" w:rsidR="00DC6295" w:rsidRPr="005A5A00" w:rsidRDefault="00DC6295" w:rsidP="00006426">
      <w:pPr>
        <w:pStyle w:val="FootnoteText"/>
        <w:rPr>
          <w:rFonts w:asciiTheme="minorHAnsi" w:hAnsiTheme="minorHAnsi"/>
          <w:sz w:val="20"/>
          <w:szCs w:val="20"/>
        </w:rPr>
      </w:pPr>
      <w:r w:rsidRPr="005A5A00">
        <w:rPr>
          <w:rStyle w:val="FootnoteReference"/>
          <w:rFonts w:asciiTheme="minorHAnsi" w:hAnsiTheme="minorHAnsi"/>
          <w:sz w:val="20"/>
          <w:szCs w:val="20"/>
        </w:rPr>
        <w:footnoteRef/>
      </w:r>
      <w:r w:rsidRPr="005A5A00">
        <w:rPr>
          <w:rFonts w:asciiTheme="minorHAnsi" w:hAnsiTheme="minorHAnsi"/>
          <w:sz w:val="20"/>
          <w:szCs w:val="20"/>
        </w:rPr>
        <w:t xml:space="preserve"> </w:t>
      </w:r>
      <w:r>
        <w:rPr>
          <w:rFonts w:asciiTheme="minorHAnsi" w:hAnsiTheme="minorHAnsi"/>
          <w:sz w:val="20"/>
          <w:szCs w:val="20"/>
        </w:rPr>
        <w:t xml:space="preserve">See </w:t>
      </w:r>
      <w:r w:rsidRPr="005A5A00">
        <w:rPr>
          <w:rFonts w:asciiTheme="minorHAnsi" w:hAnsiTheme="minorHAnsi"/>
          <w:sz w:val="20"/>
          <w:szCs w:val="20"/>
        </w:rPr>
        <w:fldChar w:fldCharType="begin"/>
      </w:r>
      <w:r w:rsidRPr="005A5A00">
        <w:rPr>
          <w:rFonts w:asciiTheme="minorHAnsi" w:hAnsiTheme="minorHAnsi"/>
          <w:sz w:val="20"/>
          <w:szCs w:val="20"/>
        </w:rPr>
        <w:instrText xml:space="preserve"> ADDIN ZOTERO_ITEM {"citationID":"2jl0e9fksk","properties":{"formattedCitation":"(Kakwani 1977, equation 3.2)","plainCitation":"(Kakwani 1977, equation 3.2)"},"citationItems":[{"id":1292,"uris":["http://zotero.org/users/252130/items/QE7V429P"],"uri":["http://zotero.org/users/252130/items/QE7V429P"],"locator":"equation 3.2","label":"page"}]} </w:instrText>
      </w:r>
      <w:r w:rsidRPr="005A5A00">
        <w:rPr>
          <w:rFonts w:asciiTheme="minorHAnsi" w:hAnsiTheme="minorHAnsi"/>
          <w:sz w:val="20"/>
          <w:szCs w:val="20"/>
        </w:rPr>
        <w:fldChar w:fldCharType="separate"/>
      </w:r>
      <w:r w:rsidRPr="005A5A00">
        <w:rPr>
          <w:rFonts w:asciiTheme="minorHAnsi" w:hAnsiTheme="minorHAnsi"/>
          <w:sz w:val="20"/>
          <w:szCs w:val="20"/>
        </w:rPr>
        <w:t>(Kakwani 1977, equation 3.2)</w:t>
      </w:r>
      <w:r w:rsidRPr="005A5A00">
        <w:rPr>
          <w:rFonts w:asciiTheme="minorHAnsi" w:hAnsiTheme="minorHAnsi"/>
          <w:sz w:val="20"/>
          <w:szCs w:val="20"/>
        </w:rPr>
        <w:fldChar w:fldCharType="end"/>
      </w:r>
      <w:r>
        <w:rPr>
          <w:rFonts w:asciiTheme="minorHAnsi" w:hAnsiTheme="minorHAnsi"/>
          <w:sz w:val="20"/>
          <w:szCs w:val="20"/>
        </w:rPr>
        <w:t>.</w:t>
      </w:r>
    </w:p>
  </w:footnote>
  <w:footnote w:id="2">
    <w:p w14:paraId="58CF4C9A" w14:textId="77777777" w:rsidR="00DC6295" w:rsidRPr="00006426" w:rsidRDefault="00DC6295" w:rsidP="00006426">
      <w:pPr>
        <w:pStyle w:val="FootnoteText"/>
        <w:rPr>
          <w:rFonts w:asciiTheme="minorHAnsi" w:hAnsiTheme="minorHAnsi"/>
          <w:sz w:val="20"/>
          <w:szCs w:val="20"/>
        </w:rPr>
      </w:pPr>
      <w:r w:rsidRPr="00006426">
        <w:rPr>
          <w:rStyle w:val="FootnoteReference"/>
          <w:rFonts w:asciiTheme="minorHAnsi" w:hAnsiTheme="minorHAnsi"/>
          <w:sz w:val="20"/>
          <w:szCs w:val="20"/>
        </w:rPr>
        <w:footnoteRef/>
      </w:r>
      <w:r w:rsidRPr="00006426">
        <w:rPr>
          <w:rFonts w:asciiTheme="minorHAnsi" w:hAnsiTheme="minorHAnsi"/>
          <w:sz w:val="20"/>
          <w:szCs w:val="20"/>
        </w:rPr>
        <w:t xml:space="preserve"> See IMF</w:t>
      </w:r>
      <w:r w:rsidRPr="007D30D4">
        <w:rPr>
          <w:rFonts w:asciiTheme="minorHAnsi" w:hAnsiTheme="minorHAnsi"/>
          <w:sz w:val="20"/>
          <w:szCs w:val="20"/>
        </w:rPr>
        <w:t xml:space="preserve"> </w:t>
      </w:r>
      <w:r w:rsidRPr="002F1B7A">
        <w:rPr>
          <w:rFonts w:asciiTheme="minorHAnsi" w:hAnsiTheme="minorHAnsi"/>
          <w:sz w:val="20"/>
          <w:szCs w:val="20"/>
        </w:rPr>
        <w:t>(</w:t>
      </w:r>
      <w:r w:rsidRPr="00006426">
        <w:rPr>
          <w:rFonts w:asciiTheme="minorHAnsi" w:hAnsiTheme="minorHAnsi"/>
          <w:sz w:val="20"/>
          <w:szCs w:val="20"/>
        </w:rPr>
        <w:t xml:space="preserve">2014) for 436 pages of technical details on GFS reporting standards and how budget categories are coded and harmonized across countries and </w:t>
      </w:r>
      <w:r w:rsidR="008867E4">
        <w:rPr>
          <w:rFonts w:asciiTheme="minorHAnsi" w:hAnsiTheme="minorHAnsi"/>
          <w:sz w:val="20"/>
          <w:szCs w:val="20"/>
        </w:rPr>
        <w:t>years</w:t>
      </w:r>
      <w:r w:rsidRPr="00006426">
        <w:rPr>
          <w:rFonts w:asciiTheme="minorHAnsi" w:hAnsiTheme="minorHAnsi"/>
          <w:sz w:val="20"/>
          <w:szCs w:val="20"/>
        </w:rPr>
        <w:t xml:space="preserve">.  </w:t>
      </w:r>
    </w:p>
  </w:footnote>
  <w:footnote w:id="3">
    <w:p w14:paraId="23BA879D" w14:textId="77777777" w:rsidR="00A54A14" w:rsidRPr="007379AB" w:rsidRDefault="00DC6295" w:rsidP="00A54A14">
      <w:pPr>
        <w:pStyle w:val="FootnoteText"/>
        <w:rPr>
          <w:rFonts w:asciiTheme="minorHAnsi" w:hAnsiTheme="minorHAnsi"/>
          <w:sz w:val="20"/>
          <w:szCs w:val="20"/>
        </w:rPr>
      </w:pPr>
      <w:r>
        <w:rPr>
          <w:rStyle w:val="FootnoteReference"/>
        </w:rPr>
        <w:footnoteRef/>
      </w:r>
      <w:r>
        <w:t xml:space="preserve"> </w:t>
      </w:r>
      <w:r w:rsidRPr="007379AB">
        <w:rPr>
          <w:rFonts w:asciiTheme="minorHAnsi" w:hAnsiTheme="minorHAnsi"/>
          <w:sz w:val="20"/>
          <w:szCs w:val="20"/>
        </w:rPr>
        <w:t>Data on social spending combine a variety of sources (OECD, GFS, ECLAC). While there is some accounting noise, for those cases/years in which we have observations for more than one source, the gap between the series tends to be relatively small</w:t>
      </w:r>
      <w:r w:rsidR="00FB1EFD">
        <w:rPr>
          <w:rFonts w:asciiTheme="minorHAnsi" w:hAnsiTheme="minorHAnsi"/>
          <w:sz w:val="20"/>
          <w:szCs w:val="20"/>
        </w:rPr>
        <w:t xml:space="preserve"> </w:t>
      </w:r>
      <w:r w:rsidR="00A45712">
        <w:rPr>
          <w:rFonts w:asciiTheme="minorHAnsi" w:hAnsiTheme="minorHAnsi"/>
          <w:sz w:val="20"/>
          <w:szCs w:val="20"/>
        </w:rPr>
        <w:t>(Sources: Beramendi, Pablo and Melissa Rogers, Geography and Capacity, WP Duke University and Claremont University).</w:t>
      </w:r>
    </w:p>
    <w:p w14:paraId="45F15971" w14:textId="77777777" w:rsidR="00DC6295" w:rsidRPr="007379AB" w:rsidRDefault="00DC6295">
      <w:pPr>
        <w:pStyle w:val="FootnoteText"/>
        <w:rPr>
          <w:rFonts w:asciiTheme="minorHAnsi" w:hAnsiTheme="minorHAnsi"/>
          <w:sz w:val="20"/>
          <w:szCs w:val="20"/>
        </w:rPr>
      </w:pPr>
    </w:p>
  </w:footnote>
  <w:footnote w:id="4">
    <w:p w14:paraId="570121DC" w14:textId="77777777" w:rsidR="00DC6295" w:rsidRPr="007379AB" w:rsidRDefault="00DC6295" w:rsidP="00BB3632">
      <w:pPr>
        <w:pStyle w:val="FootnoteText"/>
        <w:rPr>
          <w:rFonts w:asciiTheme="minorHAnsi" w:hAnsiTheme="minorHAnsi"/>
          <w:sz w:val="20"/>
          <w:szCs w:val="20"/>
        </w:rPr>
      </w:pPr>
      <w:r w:rsidRPr="007379AB">
        <w:rPr>
          <w:rStyle w:val="FootnoteReference"/>
          <w:rFonts w:asciiTheme="minorHAnsi" w:hAnsiTheme="minorHAnsi"/>
          <w:sz w:val="20"/>
          <w:szCs w:val="20"/>
        </w:rPr>
        <w:footnoteRef/>
      </w:r>
      <w:r w:rsidRPr="007379AB">
        <w:rPr>
          <w:rFonts w:asciiTheme="minorHAnsi" w:hAnsiTheme="minorHAnsi"/>
          <w:sz w:val="20"/>
          <w:szCs w:val="20"/>
        </w:rPr>
        <w:t xml:space="preserve"> Redistributive incidence is defined as the proportional reduction in the levels of market inequality associated with the policy under consideration.</w:t>
      </w:r>
      <w:r w:rsidRPr="00BB3632">
        <w:rPr>
          <w:rFonts w:asciiTheme="minorHAnsi" w:hAnsiTheme="minorHAnsi"/>
          <w:sz w:val="20"/>
          <w:szCs w:val="20"/>
        </w:rPr>
        <w:t xml:space="preserve"> </w:t>
      </w:r>
      <w:r w:rsidRPr="007379AB">
        <w:rPr>
          <w:rFonts w:asciiTheme="minorHAnsi" w:hAnsiTheme="minorHAnsi"/>
          <w:sz w:val="20"/>
          <w:szCs w:val="20"/>
        </w:rPr>
        <w:t xml:space="preserve">See </w:t>
      </w:r>
      <w:proofErr w:type="spellStart"/>
      <w:r w:rsidRPr="007379AB">
        <w:rPr>
          <w:rFonts w:asciiTheme="minorHAnsi" w:hAnsiTheme="minorHAnsi"/>
          <w:sz w:val="20"/>
          <w:szCs w:val="20"/>
        </w:rPr>
        <w:t>Solt</w:t>
      </w:r>
      <w:proofErr w:type="spellEnd"/>
      <w:r w:rsidRPr="007379AB">
        <w:rPr>
          <w:rFonts w:asciiTheme="minorHAnsi" w:hAnsiTheme="minorHAnsi"/>
          <w:sz w:val="20"/>
          <w:szCs w:val="20"/>
        </w:rPr>
        <w:t xml:space="preserve"> (2009) for a description of data and sources</w:t>
      </w:r>
      <w:r>
        <w:rPr>
          <w:rFonts w:asciiTheme="minorHAnsi" w:hAnsiTheme="minorHAnsi"/>
          <w:sz w:val="20"/>
          <w:szCs w:val="20"/>
        </w:rPr>
        <w:t xml:space="preserve">. </w:t>
      </w:r>
    </w:p>
  </w:footnote>
  <w:footnote w:id="5">
    <w:p w14:paraId="617CDEA5" w14:textId="77777777" w:rsidR="00DC6295" w:rsidRDefault="00DC6295">
      <w:pPr>
        <w:pStyle w:val="FootnoteText"/>
      </w:pPr>
      <w:r>
        <w:rPr>
          <w:rStyle w:val="FootnoteReference"/>
        </w:rPr>
        <w:footnoteRef/>
      </w:r>
      <w:r>
        <w:t xml:space="preserve"> </w:t>
      </w:r>
      <w:r w:rsidRPr="00FA70D5">
        <w:rPr>
          <w:sz w:val="20"/>
          <w:szCs w:val="20"/>
        </w:rPr>
        <w:t>When possible we use comparable data from LIS</w:t>
      </w:r>
      <w:r>
        <w:rPr>
          <w:sz w:val="20"/>
          <w:szCs w:val="20"/>
        </w:rPr>
        <w:t xml:space="preserve"> data (Wave VIII or latest)</w:t>
      </w:r>
      <w:r w:rsidRPr="00FA70D5">
        <w:rPr>
          <w:sz w:val="20"/>
          <w:szCs w:val="20"/>
        </w:rPr>
        <w:t xml:space="preserve">, setting the poverty line at 50% of the national median of </w:t>
      </w:r>
      <w:proofErr w:type="spellStart"/>
      <w:r w:rsidRPr="00FA70D5">
        <w:rPr>
          <w:sz w:val="20"/>
          <w:szCs w:val="20"/>
        </w:rPr>
        <w:t>equivalized</w:t>
      </w:r>
      <w:proofErr w:type="spellEnd"/>
      <w:r w:rsidRPr="00FA70D5">
        <w:rPr>
          <w:sz w:val="20"/>
          <w:szCs w:val="20"/>
        </w:rPr>
        <w:t xml:space="preserve"> household disposable income. In the absence of LIS data we rely on the World Bank Inequality and Poverty database, where national poverty lines may vary. This caveat applies to the following observations: Chile, Ecuador, Indonesia, Panama, Philippines, Tanzania, and Thailand.</w:t>
      </w:r>
    </w:p>
  </w:footnote>
  <w:footnote w:id="6">
    <w:p w14:paraId="0E764519" w14:textId="77777777" w:rsidR="00DC6295" w:rsidRPr="0027326F" w:rsidRDefault="00DC6295">
      <w:pPr>
        <w:pStyle w:val="FootnoteText"/>
        <w:rPr>
          <w:sz w:val="20"/>
          <w:szCs w:val="20"/>
        </w:rPr>
      </w:pPr>
      <w:r>
        <w:rPr>
          <w:rStyle w:val="FootnoteReference"/>
        </w:rPr>
        <w:footnoteRef/>
      </w:r>
      <w:r>
        <w:t xml:space="preserve"> </w:t>
      </w:r>
      <w:r w:rsidRPr="00AA23FB">
        <w:rPr>
          <w:sz w:val="20"/>
          <w:szCs w:val="20"/>
        </w:rPr>
        <w:t>Source: USAID Project on Fiscal Refo</w:t>
      </w:r>
      <w:r>
        <w:rPr>
          <w:sz w:val="20"/>
          <w:szCs w:val="20"/>
        </w:rPr>
        <w:t>rm. The indicator captures the number of</w:t>
      </w:r>
      <w:r w:rsidRPr="00AA23FB">
        <w:rPr>
          <w:sz w:val="20"/>
          <w:szCs w:val="20"/>
        </w:rPr>
        <w:t xml:space="preserve"> tax agency personnel</w:t>
      </w:r>
      <w:r>
        <w:rPr>
          <w:sz w:val="20"/>
          <w:szCs w:val="20"/>
        </w:rPr>
        <w:t xml:space="preserve"> per </w:t>
      </w:r>
      <w:r w:rsidRPr="00AA23FB">
        <w:rPr>
          <w:sz w:val="20"/>
          <w:szCs w:val="20"/>
        </w:rPr>
        <w:t xml:space="preserve">1000 inhabitants </w:t>
      </w:r>
      <w:r w:rsidRPr="0027326F">
        <w:rPr>
          <w:sz w:val="20"/>
          <w:szCs w:val="20"/>
        </w:rPr>
        <w:t xml:space="preserve">in </w:t>
      </w:r>
      <w:r>
        <w:rPr>
          <w:sz w:val="20"/>
          <w:szCs w:val="20"/>
        </w:rPr>
        <w:t>each</w:t>
      </w:r>
      <w:r w:rsidRPr="0027326F">
        <w:rPr>
          <w:sz w:val="20"/>
          <w:szCs w:val="20"/>
        </w:rPr>
        <w:t xml:space="preserve"> country.</w:t>
      </w:r>
    </w:p>
  </w:footnote>
  <w:footnote w:id="7">
    <w:p w14:paraId="6A458BCC" w14:textId="77777777" w:rsidR="00DC6295" w:rsidRDefault="00DC6295">
      <w:pPr>
        <w:pStyle w:val="FootnoteText"/>
      </w:pPr>
      <w:r w:rsidRPr="0027326F">
        <w:rPr>
          <w:rStyle w:val="FootnoteReference"/>
          <w:sz w:val="20"/>
          <w:szCs w:val="20"/>
        </w:rPr>
        <w:footnoteRef/>
      </w:r>
      <w:r w:rsidRPr="0027326F">
        <w:rPr>
          <w:sz w:val="20"/>
          <w:szCs w:val="20"/>
        </w:rPr>
        <w:t xml:space="preserve"> Same sources as social spending above (see fn. 4)</w:t>
      </w:r>
    </w:p>
  </w:footnote>
  <w:footnote w:id="8">
    <w:p w14:paraId="09110866" w14:textId="77777777" w:rsidR="00DC6295" w:rsidRPr="00405891" w:rsidRDefault="00DC6295">
      <w:pPr>
        <w:pStyle w:val="FootnoteText"/>
        <w:rPr>
          <w:rFonts w:asciiTheme="minorHAnsi" w:hAnsiTheme="minorHAnsi"/>
          <w:sz w:val="20"/>
          <w:szCs w:val="20"/>
        </w:rPr>
      </w:pPr>
      <w:r w:rsidRPr="00405891">
        <w:rPr>
          <w:rStyle w:val="FootnoteReference"/>
          <w:rFonts w:asciiTheme="minorHAnsi" w:hAnsiTheme="minorHAnsi"/>
          <w:sz w:val="20"/>
          <w:szCs w:val="20"/>
        </w:rPr>
        <w:footnoteRef/>
      </w:r>
      <w:r w:rsidRPr="00405891">
        <w:rPr>
          <w:rFonts w:asciiTheme="minorHAnsi" w:hAnsiTheme="minorHAnsi"/>
          <w:sz w:val="20"/>
          <w:szCs w:val="20"/>
        </w:rPr>
        <w:t xml:space="preserve"> See </w:t>
      </w:r>
      <w:proofErr w:type="spellStart"/>
      <w:r w:rsidRPr="00405891">
        <w:rPr>
          <w:rFonts w:asciiTheme="minorHAnsi" w:hAnsiTheme="minorHAnsi"/>
          <w:sz w:val="20"/>
          <w:szCs w:val="20"/>
        </w:rPr>
        <w:t>Fuest</w:t>
      </w:r>
      <w:proofErr w:type="spellEnd"/>
      <w:r w:rsidRPr="00405891">
        <w:rPr>
          <w:rFonts w:asciiTheme="minorHAnsi" w:hAnsiTheme="minorHAnsi"/>
          <w:sz w:val="20"/>
          <w:szCs w:val="20"/>
        </w:rPr>
        <w:t xml:space="preserve"> </w:t>
      </w:r>
      <w:proofErr w:type="gramStart"/>
      <w:r w:rsidRPr="00405891">
        <w:rPr>
          <w:rFonts w:asciiTheme="minorHAnsi" w:hAnsiTheme="minorHAnsi"/>
          <w:sz w:val="20"/>
          <w:szCs w:val="20"/>
        </w:rPr>
        <w:t>an</w:t>
      </w:r>
      <w:proofErr w:type="gramEnd"/>
      <w:r w:rsidRPr="00405891">
        <w:rPr>
          <w:rFonts w:asciiTheme="minorHAnsi" w:hAnsiTheme="minorHAnsi"/>
          <w:sz w:val="20"/>
          <w:szCs w:val="20"/>
        </w:rPr>
        <w:t xml:space="preserve"> Riedel (2009) for a review of the relevant literature. </w:t>
      </w:r>
    </w:p>
  </w:footnote>
  <w:footnote w:id="9">
    <w:p w14:paraId="6D7BEB1F" w14:textId="77777777" w:rsidR="00DC6295" w:rsidRDefault="00DC6295">
      <w:pPr>
        <w:pStyle w:val="FootnoteText"/>
      </w:pPr>
      <w:r w:rsidRPr="00405891">
        <w:rPr>
          <w:rStyle w:val="FootnoteReference"/>
          <w:rFonts w:asciiTheme="minorHAnsi" w:hAnsiTheme="minorHAnsi"/>
          <w:sz w:val="20"/>
          <w:szCs w:val="20"/>
        </w:rPr>
        <w:footnoteRef/>
      </w:r>
      <w:r w:rsidRPr="00405891">
        <w:rPr>
          <w:rFonts w:asciiTheme="minorHAnsi" w:hAnsiTheme="minorHAnsi"/>
          <w:sz w:val="20"/>
          <w:szCs w:val="20"/>
        </w:rPr>
        <w:t xml:space="preserve"> See the ASPIRE project: </w:t>
      </w:r>
      <w:hyperlink r:id="rId1" w:history="1">
        <w:r w:rsidRPr="00405891">
          <w:rPr>
            <w:rStyle w:val="Hyperlink"/>
            <w:rFonts w:asciiTheme="minorHAnsi" w:hAnsiTheme="minorHAnsi"/>
            <w:sz w:val="20"/>
            <w:szCs w:val="20"/>
          </w:rPr>
          <w:t>http://datatopics.worldbank.org/aspire/</w:t>
        </w:r>
      </w:hyperlink>
      <w:r w:rsidRPr="00405891">
        <w:rPr>
          <w:rFonts w:asciiTheme="minorHAnsi" w:hAnsiTheme="minorHAnsi"/>
          <w:sz w:val="20"/>
          <w:szCs w:val="20"/>
        </w:rPr>
        <w:t>. It represents an attempt to provide micro-evidence on distributive effort across more than 80 countries.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B28E7"/>
    <w:multiLevelType w:val="hybridMultilevel"/>
    <w:tmpl w:val="1CF67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8E1ED9"/>
    <w:multiLevelType w:val="hybridMultilevel"/>
    <w:tmpl w:val="57ACD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D36"/>
    <w:rsid w:val="00006426"/>
    <w:rsid w:val="00006CD7"/>
    <w:rsid w:val="00043EA6"/>
    <w:rsid w:val="00072BAD"/>
    <w:rsid w:val="000876A4"/>
    <w:rsid w:val="000B1972"/>
    <w:rsid w:val="000D5D63"/>
    <w:rsid w:val="000E0953"/>
    <w:rsid w:val="000E28E9"/>
    <w:rsid w:val="0016220F"/>
    <w:rsid w:val="00191B3A"/>
    <w:rsid w:val="00192D4F"/>
    <w:rsid w:val="0019797C"/>
    <w:rsid w:val="001B0636"/>
    <w:rsid w:val="001B43EF"/>
    <w:rsid w:val="001B4D2E"/>
    <w:rsid w:val="001C7BDF"/>
    <w:rsid w:val="001E22B6"/>
    <w:rsid w:val="001E5125"/>
    <w:rsid w:val="0023226A"/>
    <w:rsid w:val="00232E00"/>
    <w:rsid w:val="0024020C"/>
    <w:rsid w:val="0027326F"/>
    <w:rsid w:val="00282066"/>
    <w:rsid w:val="002918F0"/>
    <w:rsid w:val="00292490"/>
    <w:rsid w:val="00294CA6"/>
    <w:rsid w:val="002D0479"/>
    <w:rsid w:val="002D2E6F"/>
    <w:rsid w:val="002F1B7A"/>
    <w:rsid w:val="002F66BC"/>
    <w:rsid w:val="0034673A"/>
    <w:rsid w:val="0036037E"/>
    <w:rsid w:val="003855C6"/>
    <w:rsid w:val="00390BFC"/>
    <w:rsid w:val="003930A5"/>
    <w:rsid w:val="003A351C"/>
    <w:rsid w:val="003A5408"/>
    <w:rsid w:val="003B6A8A"/>
    <w:rsid w:val="003C3EFF"/>
    <w:rsid w:val="00405891"/>
    <w:rsid w:val="00410391"/>
    <w:rsid w:val="0042421C"/>
    <w:rsid w:val="00433624"/>
    <w:rsid w:val="004763E6"/>
    <w:rsid w:val="00485AC7"/>
    <w:rsid w:val="00491AF8"/>
    <w:rsid w:val="0049256B"/>
    <w:rsid w:val="004B09BB"/>
    <w:rsid w:val="004B4818"/>
    <w:rsid w:val="00506C5E"/>
    <w:rsid w:val="00507729"/>
    <w:rsid w:val="005203CA"/>
    <w:rsid w:val="00557CA0"/>
    <w:rsid w:val="00593B07"/>
    <w:rsid w:val="005A3E90"/>
    <w:rsid w:val="005A5A00"/>
    <w:rsid w:val="005B5776"/>
    <w:rsid w:val="005C2FA5"/>
    <w:rsid w:val="005C4089"/>
    <w:rsid w:val="00614574"/>
    <w:rsid w:val="00636BD1"/>
    <w:rsid w:val="00647A01"/>
    <w:rsid w:val="0065681A"/>
    <w:rsid w:val="0065682C"/>
    <w:rsid w:val="00671C26"/>
    <w:rsid w:val="00677CC5"/>
    <w:rsid w:val="00681B11"/>
    <w:rsid w:val="006E33F7"/>
    <w:rsid w:val="00717B32"/>
    <w:rsid w:val="007379AB"/>
    <w:rsid w:val="00782BCF"/>
    <w:rsid w:val="00792548"/>
    <w:rsid w:val="007A00B8"/>
    <w:rsid w:val="007A6341"/>
    <w:rsid w:val="007B026E"/>
    <w:rsid w:val="007C5105"/>
    <w:rsid w:val="007D30D4"/>
    <w:rsid w:val="00801DA0"/>
    <w:rsid w:val="008034C3"/>
    <w:rsid w:val="00805B89"/>
    <w:rsid w:val="00825273"/>
    <w:rsid w:val="00842C67"/>
    <w:rsid w:val="0085073A"/>
    <w:rsid w:val="00860D54"/>
    <w:rsid w:val="00863431"/>
    <w:rsid w:val="0086357B"/>
    <w:rsid w:val="00875C88"/>
    <w:rsid w:val="008867E4"/>
    <w:rsid w:val="00887D30"/>
    <w:rsid w:val="00894110"/>
    <w:rsid w:val="008A635B"/>
    <w:rsid w:val="008B29F4"/>
    <w:rsid w:val="008D35D0"/>
    <w:rsid w:val="008E1304"/>
    <w:rsid w:val="008E1D36"/>
    <w:rsid w:val="0090799E"/>
    <w:rsid w:val="00912178"/>
    <w:rsid w:val="009334E5"/>
    <w:rsid w:val="00960405"/>
    <w:rsid w:val="00967000"/>
    <w:rsid w:val="0097413C"/>
    <w:rsid w:val="0097488C"/>
    <w:rsid w:val="0099631F"/>
    <w:rsid w:val="009A2CB6"/>
    <w:rsid w:val="009C1AE1"/>
    <w:rsid w:val="009C1CBD"/>
    <w:rsid w:val="009F112D"/>
    <w:rsid w:val="00A068CE"/>
    <w:rsid w:val="00A15497"/>
    <w:rsid w:val="00A2146A"/>
    <w:rsid w:val="00A34680"/>
    <w:rsid w:val="00A45712"/>
    <w:rsid w:val="00A54A14"/>
    <w:rsid w:val="00A65378"/>
    <w:rsid w:val="00A8414A"/>
    <w:rsid w:val="00A93E33"/>
    <w:rsid w:val="00AB20F6"/>
    <w:rsid w:val="00AC07B5"/>
    <w:rsid w:val="00AD0A8C"/>
    <w:rsid w:val="00AF14A8"/>
    <w:rsid w:val="00AF3337"/>
    <w:rsid w:val="00B314C0"/>
    <w:rsid w:val="00B31FFC"/>
    <w:rsid w:val="00B37820"/>
    <w:rsid w:val="00B46CF7"/>
    <w:rsid w:val="00B6127F"/>
    <w:rsid w:val="00B61F63"/>
    <w:rsid w:val="00B95DC9"/>
    <w:rsid w:val="00BB09AA"/>
    <w:rsid w:val="00BB3632"/>
    <w:rsid w:val="00BB73B7"/>
    <w:rsid w:val="00BF777F"/>
    <w:rsid w:val="00C01882"/>
    <w:rsid w:val="00C0401C"/>
    <w:rsid w:val="00C41B77"/>
    <w:rsid w:val="00C86B2B"/>
    <w:rsid w:val="00CC5157"/>
    <w:rsid w:val="00CC5CC6"/>
    <w:rsid w:val="00CD0EB1"/>
    <w:rsid w:val="00CD5C5C"/>
    <w:rsid w:val="00D03145"/>
    <w:rsid w:val="00D23ECB"/>
    <w:rsid w:val="00D4473F"/>
    <w:rsid w:val="00D640F1"/>
    <w:rsid w:val="00D66488"/>
    <w:rsid w:val="00DC6295"/>
    <w:rsid w:val="00DF4398"/>
    <w:rsid w:val="00E112FB"/>
    <w:rsid w:val="00E1555D"/>
    <w:rsid w:val="00E30F41"/>
    <w:rsid w:val="00E370A4"/>
    <w:rsid w:val="00E57183"/>
    <w:rsid w:val="00E671F5"/>
    <w:rsid w:val="00EC0D43"/>
    <w:rsid w:val="00EC7E8E"/>
    <w:rsid w:val="00ED712B"/>
    <w:rsid w:val="00EE19AF"/>
    <w:rsid w:val="00EF58B5"/>
    <w:rsid w:val="00F118CA"/>
    <w:rsid w:val="00F37D89"/>
    <w:rsid w:val="00F576D2"/>
    <w:rsid w:val="00F96AF2"/>
    <w:rsid w:val="00FA70D5"/>
    <w:rsid w:val="00FB1EFD"/>
    <w:rsid w:val="00FB75B9"/>
    <w:rsid w:val="00FC0AC4"/>
    <w:rsid w:val="00FC50E4"/>
    <w:rsid w:val="00FD0518"/>
    <w:rsid w:val="00FD337B"/>
    <w:rsid w:val="00FD6733"/>
    <w:rsid w:val="00FF24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8B591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624"/>
    <w:rPr>
      <w:rFonts w:ascii="Lucida Grande" w:hAnsi="Lucida Grande"/>
      <w:sz w:val="18"/>
      <w:szCs w:val="18"/>
    </w:rPr>
  </w:style>
  <w:style w:type="paragraph" w:styleId="FootnoteText">
    <w:name w:val="footnote text"/>
    <w:basedOn w:val="Normal"/>
    <w:link w:val="FootnoteTextChar"/>
    <w:unhideWhenUsed/>
    <w:rsid w:val="001E22B6"/>
    <w:rPr>
      <w:sz w:val="24"/>
    </w:rPr>
  </w:style>
  <w:style w:type="character" w:customStyle="1" w:styleId="FootnoteTextChar">
    <w:name w:val="Footnote Text Char"/>
    <w:basedOn w:val="DefaultParagraphFont"/>
    <w:link w:val="FootnoteText"/>
    <w:rsid w:val="001E22B6"/>
    <w:rPr>
      <w:sz w:val="24"/>
      <w:szCs w:val="24"/>
      <w:lang w:eastAsia="en-US"/>
    </w:rPr>
  </w:style>
  <w:style w:type="character" w:styleId="FootnoteReference">
    <w:name w:val="footnote reference"/>
    <w:basedOn w:val="DefaultParagraphFont"/>
    <w:unhideWhenUsed/>
    <w:rsid w:val="001E22B6"/>
    <w:rPr>
      <w:vertAlign w:val="superscript"/>
    </w:rPr>
  </w:style>
  <w:style w:type="character" w:styleId="Hyperlink">
    <w:name w:val="Hyperlink"/>
    <w:basedOn w:val="DefaultParagraphFont"/>
    <w:uiPriority w:val="99"/>
    <w:unhideWhenUsed/>
    <w:rsid w:val="0034673A"/>
    <w:rPr>
      <w:color w:val="0000FF" w:themeColor="hyperlink"/>
      <w:u w:val="single"/>
    </w:rPr>
  </w:style>
  <w:style w:type="character" w:styleId="CommentReference">
    <w:name w:val="annotation reference"/>
    <w:basedOn w:val="DefaultParagraphFont"/>
    <w:uiPriority w:val="99"/>
    <w:semiHidden/>
    <w:unhideWhenUsed/>
    <w:rsid w:val="00A65378"/>
    <w:rPr>
      <w:sz w:val="18"/>
      <w:szCs w:val="18"/>
    </w:rPr>
  </w:style>
  <w:style w:type="paragraph" w:styleId="CommentText">
    <w:name w:val="annotation text"/>
    <w:basedOn w:val="Normal"/>
    <w:link w:val="CommentTextChar"/>
    <w:uiPriority w:val="99"/>
    <w:semiHidden/>
    <w:unhideWhenUsed/>
    <w:rsid w:val="00A65378"/>
    <w:rPr>
      <w:sz w:val="24"/>
    </w:rPr>
  </w:style>
  <w:style w:type="character" w:customStyle="1" w:styleId="CommentTextChar">
    <w:name w:val="Comment Text Char"/>
    <w:basedOn w:val="DefaultParagraphFont"/>
    <w:link w:val="CommentText"/>
    <w:uiPriority w:val="99"/>
    <w:semiHidden/>
    <w:rsid w:val="00A65378"/>
    <w:rPr>
      <w:sz w:val="24"/>
      <w:szCs w:val="24"/>
      <w:lang w:eastAsia="en-US"/>
    </w:rPr>
  </w:style>
  <w:style w:type="paragraph" w:styleId="CommentSubject">
    <w:name w:val="annotation subject"/>
    <w:basedOn w:val="CommentText"/>
    <w:next w:val="CommentText"/>
    <w:link w:val="CommentSubjectChar"/>
    <w:uiPriority w:val="99"/>
    <w:semiHidden/>
    <w:unhideWhenUsed/>
    <w:rsid w:val="00A65378"/>
    <w:rPr>
      <w:b/>
      <w:bCs/>
      <w:sz w:val="20"/>
      <w:szCs w:val="20"/>
    </w:rPr>
  </w:style>
  <w:style w:type="character" w:customStyle="1" w:styleId="CommentSubjectChar">
    <w:name w:val="Comment Subject Char"/>
    <w:basedOn w:val="CommentTextChar"/>
    <w:link w:val="CommentSubject"/>
    <w:uiPriority w:val="99"/>
    <w:semiHidden/>
    <w:rsid w:val="00A65378"/>
    <w:rPr>
      <w:b/>
      <w:bCs/>
      <w:sz w:val="24"/>
      <w:szCs w:val="24"/>
      <w:lang w:eastAsia="en-US"/>
    </w:rPr>
  </w:style>
  <w:style w:type="paragraph" w:styleId="ListParagraph">
    <w:name w:val="List Paragraph"/>
    <w:basedOn w:val="Normal"/>
    <w:uiPriority w:val="34"/>
    <w:qFormat/>
    <w:rsid w:val="00ED712B"/>
    <w:pPr>
      <w:ind w:left="720"/>
      <w:contextualSpacing/>
    </w:pPr>
  </w:style>
  <w:style w:type="paragraph" w:styleId="Bibliography">
    <w:name w:val="Bibliography"/>
    <w:basedOn w:val="Normal"/>
    <w:next w:val="Normal"/>
    <w:uiPriority w:val="37"/>
    <w:semiHidden/>
    <w:unhideWhenUsed/>
    <w:rsid w:val="00681B11"/>
  </w:style>
  <w:style w:type="character" w:styleId="FollowedHyperlink">
    <w:name w:val="FollowedHyperlink"/>
    <w:basedOn w:val="DefaultParagraphFont"/>
    <w:uiPriority w:val="99"/>
    <w:semiHidden/>
    <w:unhideWhenUsed/>
    <w:rsid w:val="00FD673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624"/>
    <w:rPr>
      <w:rFonts w:ascii="Lucida Grande" w:hAnsi="Lucida Grande"/>
      <w:sz w:val="18"/>
      <w:szCs w:val="18"/>
    </w:rPr>
  </w:style>
  <w:style w:type="paragraph" w:styleId="FootnoteText">
    <w:name w:val="footnote text"/>
    <w:basedOn w:val="Normal"/>
    <w:link w:val="FootnoteTextChar"/>
    <w:unhideWhenUsed/>
    <w:rsid w:val="001E22B6"/>
    <w:rPr>
      <w:sz w:val="24"/>
    </w:rPr>
  </w:style>
  <w:style w:type="character" w:customStyle="1" w:styleId="FootnoteTextChar">
    <w:name w:val="Footnote Text Char"/>
    <w:basedOn w:val="DefaultParagraphFont"/>
    <w:link w:val="FootnoteText"/>
    <w:rsid w:val="001E22B6"/>
    <w:rPr>
      <w:sz w:val="24"/>
      <w:szCs w:val="24"/>
      <w:lang w:eastAsia="en-US"/>
    </w:rPr>
  </w:style>
  <w:style w:type="character" w:styleId="FootnoteReference">
    <w:name w:val="footnote reference"/>
    <w:basedOn w:val="DefaultParagraphFont"/>
    <w:unhideWhenUsed/>
    <w:rsid w:val="001E22B6"/>
    <w:rPr>
      <w:vertAlign w:val="superscript"/>
    </w:rPr>
  </w:style>
  <w:style w:type="character" w:styleId="Hyperlink">
    <w:name w:val="Hyperlink"/>
    <w:basedOn w:val="DefaultParagraphFont"/>
    <w:uiPriority w:val="99"/>
    <w:unhideWhenUsed/>
    <w:rsid w:val="0034673A"/>
    <w:rPr>
      <w:color w:val="0000FF" w:themeColor="hyperlink"/>
      <w:u w:val="single"/>
    </w:rPr>
  </w:style>
  <w:style w:type="character" w:styleId="CommentReference">
    <w:name w:val="annotation reference"/>
    <w:basedOn w:val="DefaultParagraphFont"/>
    <w:uiPriority w:val="99"/>
    <w:semiHidden/>
    <w:unhideWhenUsed/>
    <w:rsid w:val="00A65378"/>
    <w:rPr>
      <w:sz w:val="18"/>
      <w:szCs w:val="18"/>
    </w:rPr>
  </w:style>
  <w:style w:type="paragraph" w:styleId="CommentText">
    <w:name w:val="annotation text"/>
    <w:basedOn w:val="Normal"/>
    <w:link w:val="CommentTextChar"/>
    <w:uiPriority w:val="99"/>
    <w:semiHidden/>
    <w:unhideWhenUsed/>
    <w:rsid w:val="00A65378"/>
    <w:rPr>
      <w:sz w:val="24"/>
    </w:rPr>
  </w:style>
  <w:style w:type="character" w:customStyle="1" w:styleId="CommentTextChar">
    <w:name w:val="Comment Text Char"/>
    <w:basedOn w:val="DefaultParagraphFont"/>
    <w:link w:val="CommentText"/>
    <w:uiPriority w:val="99"/>
    <w:semiHidden/>
    <w:rsid w:val="00A65378"/>
    <w:rPr>
      <w:sz w:val="24"/>
      <w:szCs w:val="24"/>
      <w:lang w:eastAsia="en-US"/>
    </w:rPr>
  </w:style>
  <w:style w:type="paragraph" w:styleId="CommentSubject">
    <w:name w:val="annotation subject"/>
    <w:basedOn w:val="CommentText"/>
    <w:next w:val="CommentText"/>
    <w:link w:val="CommentSubjectChar"/>
    <w:uiPriority w:val="99"/>
    <w:semiHidden/>
    <w:unhideWhenUsed/>
    <w:rsid w:val="00A65378"/>
    <w:rPr>
      <w:b/>
      <w:bCs/>
      <w:sz w:val="20"/>
      <w:szCs w:val="20"/>
    </w:rPr>
  </w:style>
  <w:style w:type="character" w:customStyle="1" w:styleId="CommentSubjectChar">
    <w:name w:val="Comment Subject Char"/>
    <w:basedOn w:val="CommentTextChar"/>
    <w:link w:val="CommentSubject"/>
    <w:uiPriority w:val="99"/>
    <w:semiHidden/>
    <w:rsid w:val="00A65378"/>
    <w:rPr>
      <w:b/>
      <w:bCs/>
      <w:sz w:val="24"/>
      <w:szCs w:val="24"/>
      <w:lang w:eastAsia="en-US"/>
    </w:rPr>
  </w:style>
  <w:style w:type="paragraph" w:styleId="ListParagraph">
    <w:name w:val="List Paragraph"/>
    <w:basedOn w:val="Normal"/>
    <w:uiPriority w:val="34"/>
    <w:qFormat/>
    <w:rsid w:val="00ED712B"/>
    <w:pPr>
      <w:ind w:left="720"/>
      <w:contextualSpacing/>
    </w:pPr>
  </w:style>
  <w:style w:type="paragraph" w:styleId="Bibliography">
    <w:name w:val="Bibliography"/>
    <w:basedOn w:val="Normal"/>
    <w:next w:val="Normal"/>
    <w:uiPriority w:val="37"/>
    <w:semiHidden/>
    <w:unhideWhenUsed/>
    <w:rsid w:val="00681B11"/>
  </w:style>
  <w:style w:type="character" w:styleId="FollowedHyperlink">
    <w:name w:val="FollowedHyperlink"/>
    <w:basedOn w:val="DefaultParagraphFont"/>
    <w:uiPriority w:val="99"/>
    <w:semiHidden/>
    <w:unhideWhenUsed/>
    <w:rsid w:val="00FD6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446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www.actionaidusa.org/sites/files/actionaid/eac_report.pdf" TargetMode="External"/><Relationship Id="rId13" Type="http://schemas.openxmlformats.org/officeDocument/2006/relationships/hyperlink" Target="https://www.imf.org/external/np/sta/gfsm/pdf/text14.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chart" Target="charts/chart1.xml"/><Relationship Id="rId10" Type="http://schemas.openxmlformats.org/officeDocument/2006/relationships/chart" Target="charts/chart2.xml"/></Relationships>
</file>

<file path=word/_rels/footnotes.xml.rels><?xml version="1.0" encoding="UTF-8" standalone="yes"?>
<Relationships xmlns="http://schemas.openxmlformats.org/package/2006/relationships"><Relationship Id="rId1" Type="http://schemas.openxmlformats.org/officeDocument/2006/relationships/hyperlink" Target="http://datatopics.worldbank.org/aspir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TTS-100150ML:Users:EW:Documents:Three%20Worlds%20Social:Book%20Manuscript:Summer%202010:Figures%20from%20Ben:LIS%20data-%20All%20Countri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TS-100150ML:Users:EW:Documents:Three%20Worlds%20Social:Book%20Manuscript:Summer%202010:Figures%20from%20Ben:LIS%20data-%20All%20Countri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v>Brazil</c:v>
          </c:tx>
          <c:marker>
            <c:symbol val="none"/>
          </c:marker>
          <c:cat>
            <c:numRef>
              <c:f>'Distribution of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'Distribution of SocTrans'!$B$3:$K$3</c:f>
              <c:numCache>
                <c:formatCode>General</c:formatCode>
                <c:ptCount val="10"/>
                <c:pt idx="0">
                  <c:v>0.0119179466728509</c:v>
                </c:pt>
                <c:pt idx="1">
                  <c:v>0.018996180390746</c:v>
                </c:pt>
                <c:pt idx="2">
                  <c:v>0.0292398421295604</c:v>
                </c:pt>
                <c:pt idx="3">
                  <c:v>0.0487558274868821</c:v>
                </c:pt>
                <c:pt idx="4">
                  <c:v>0.0476970725480124</c:v>
                </c:pt>
                <c:pt idx="5">
                  <c:v>0.0671888557282941</c:v>
                </c:pt>
                <c:pt idx="6">
                  <c:v>0.0770330009326869</c:v>
                </c:pt>
                <c:pt idx="7">
                  <c:v>0.0949765672354539</c:v>
                </c:pt>
                <c:pt idx="8">
                  <c:v>0.153988338162932</c:v>
                </c:pt>
                <c:pt idx="9">
                  <c:v>0.450206368712581</c:v>
                </c:pt>
              </c:numCache>
            </c:numRef>
          </c:val>
          <c:smooth val="0"/>
        </c:ser>
        <c:ser>
          <c:idx val="1"/>
          <c:order val="1"/>
          <c:tx>
            <c:v>Sweden</c:v>
          </c:tx>
          <c:marker>
            <c:symbol val="none"/>
          </c:marker>
          <c:cat>
            <c:numRef>
              <c:f>'Distribution of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'Distribution of SocTrans'!$B$4:$K$4</c:f>
              <c:numCache>
                <c:formatCode>General</c:formatCode>
                <c:ptCount val="10"/>
                <c:pt idx="0">
                  <c:v>0.091183431520344</c:v>
                </c:pt>
                <c:pt idx="1">
                  <c:v>0.12425151785997</c:v>
                </c:pt>
                <c:pt idx="2">
                  <c:v>0.126724612833071</c:v>
                </c:pt>
                <c:pt idx="3">
                  <c:v>0.118924724374164</c:v>
                </c:pt>
                <c:pt idx="4">
                  <c:v>0.109866905660102</c:v>
                </c:pt>
                <c:pt idx="5">
                  <c:v>0.0984913701776133</c:v>
                </c:pt>
                <c:pt idx="6">
                  <c:v>0.0917161011273443</c:v>
                </c:pt>
                <c:pt idx="7">
                  <c:v>0.0840332090470055</c:v>
                </c:pt>
                <c:pt idx="8">
                  <c:v>0.0761127198248464</c:v>
                </c:pt>
                <c:pt idx="9">
                  <c:v>0.0786954075755399</c:v>
                </c:pt>
              </c:numCache>
            </c:numRef>
          </c:val>
          <c:smooth val="0"/>
        </c:ser>
        <c:ser>
          <c:idx val="8"/>
          <c:order val="2"/>
          <c:tx>
            <c:v>Colombia</c:v>
          </c:tx>
          <c:marker>
            <c:symbol val="none"/>
          </c:marker>
          <c:cat>
            <c:numRef>
              <c:f>'Distribution of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'Distribution of SocTrans'!$B$11:$K$11</c:f>
              <c:numCache>
                <c:formatCode>General</c:formatCode>
                <c:ptCount val="10"/>
                <c:pt idx="0">
                  <c:v>0.0</c:v>
                </c:pt>
                <c:pt idx="1">
                  <c:v>0.0</c:v>
                </c:pt>
                <c:pt idx="2">
                  <c:v>0.0451868334621742</c:v>
                </c:pt>
                <c:pt idx="3">
                  <c:v>0.0652548272607297</c:v>
                </c:pt>
                <c:pt idx="4">
                  <c:v>0.0796099752710996</c:v>
                </c:pt>
                <c:pt idx="5">
                  <c:v>0.0951093154066601</c:v>
                </c:pt>
                <c:pt idx="6">
                  <c:v>0.0959037153144072</c:v>
                </c:pt>
                <c:pt idx="7">
                  <c:v>0.122698482525337</c:v>
                </c:pt>
                <c:pt idx="8">
                  <c:v>0.15108375793866</c:v>
                </c:pt>
                <c:pt idx="9">
                  <c:v>0.345153092820931</c:v>
                </c:pt>
              </c:numCache>
            </c:numRef>
          </c:val>
          <c:smooth val="0"/>
        </c:ser>
        <c:ser>
          <c:idx val="11"/>
          <c:order val="3"/>
          <c:tx>
            <c:v>Korea</c:v>
          </c:tx>
          <c:marker>
            <c:symbol val="none"/>
          </c:marker>
          <c:cat>
            <c:numRef>
              <c:f>'Distribution of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'Distribution of SocTrans'!$B$14:$K$14</c:f>
              <c:numCache>
                <c:formatCode>General</c:formatCode>
                <c:ptCount val="10"/>
                <c:pt idx="0">
                  <c:v>0.0565541920756383</c:v>
                </c:pt>
                <c:pt idx="1">
                  <c:v>0.0673086717270099</c:v>
                </c:pt>
                <c:pt idx="2">
                  <c:v>0.0781417175109302</c:v>
                </c:pt>
                <c:pt idx="3">
                  <c:v>0.0840172008505672</c:v>
                </c:pt>
                <c:pt idx="4">
                  <c:v>0.0950575190947286</c:v>
                </c:pt>
                <c:pt idx="5">
                  <c:v>0.103402505746382</c:v>
                </c:pt>
                <c:pt idx="6">
                  <c:v>0.114082367312067</c:v>
                </c:pt>
                <c:pt idx="7">
                  <c:v>0.107368318818997</c:v>
                </c:pt>
                <c:pt idx="8">
                  <c:v>0.124631943331315</c:v>
                </c:pt>
                <c:pt idx="9">
                  <c:v>0.169435563532365</c:v>
                </c:pt>
              </c:numCache>
            </c:numRef>
          </c:val>
          <c:smooth val="0"/>
        </c:ser>
        <c:ser>
          <c:idx val="12"/>
          <c:order val="4"/>
          <c:tx>
            <c:v>ROC Taiwan</c:v>
          </c:tx>
          <c:marker>
            <c:symbol val="none"/>
          </c:marker>
          <c:cat>
            <c:numRef>
              <c:f>'Distribution of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'Distribution of SocTrans'!$B$15:$K$15</c:f>
              <c:numCache>
                <c:formatCode>General</c:formatCode>
                <c:ptCount val="10"/>
                <c:pt idx="0">
                  <c:v>0.131523555532761</c:v>
                </c:pt>
                <c:pt idx="1">
                  <c:v>0.101840336098539</c:v>
                </c:pt>
                <c:pt idx="2">
                  <c:v>0.0902436757144872</c:v>
                </c:pt>
                <c:pt idx="3">
                  <c:v>0.0760853538138038</c:v>
                </c:pt>
                <c:pt idx="4">
                  <c:v>0.0774294915355651</c:v>
                </c:pt>
                <c:pt idx="5">
                  <c:v>0.0742331576765436</c:v>
                </c:pt>
                <c:pt idx="6">
                  <c:v>0.075215083404921</c:v>
                </c:pt>
                <c:pt idx="7">
                  <c:v>0.0772943298330192</c:v>
                </c:pt>
                <c:pt idx="8">
                  <c:v>0.0878898319934695</c:v>
                </c:pt>
                <c:pt idx="9">
                  <c:v>0.20824518439689</c:v>
                </c:pt>
              </c:numCache>
            </c:numRef>
          </c:val>
          <c:smooth val="0"/>
        </c:ser>
        <c:ser>
          <c:idx val="15"/>
          <c:order val="5"/>
          <c:tx>
            <c:v>Mexico</c:v>
          </c:tx>
          <c:marker>
            <c:symbol val="none"/>
          </c:marker>
          <c:cat>
            <c:numRef>
              <c:f>'Distribution of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'Distribution of SocTrans'!$B$18:$K$18</c:f>
              <c:numCache>
                <c:formatCode>General</c:formatCode>
                <c:ptCount val="10"/>
                <c:pt idx="0">
                  <c:v>0.0156152456507687</c:v>
                </c:pt>
                <c:pt idx="1">
                  <c:v>0.030297756833454</c:v>
                </c:pt>
                <c:pt idx="2">
                  <c:v>0.0372849784633177</c:v>
                </c:pt>
                <c:pt idx="3">
                  <c:v>0.0453016148368313</c:v>
                </c:pt>
                <c:pt idx="4">
                  <c:v>0.0494754404477125</c:v>
                </c:pt>
                <c:pt idx="5">
                  <c:v>0.0614849722021189</c:v>
                </c:pt>
                <c:pt idx="6">
                  <c:v>0.0748116576155513</c:v>
                </c:pt>
                <c:pt idx="7">
                  <c:v>0.105732311653012</c:v>
                </c:pt>
                <c:pt idx="8">
                  <c:v>0.163180652159101</c:v>
                </c:pt>
                <c:pt idx="9">
                  <c:v>0.416815370138133</c:v>
                </c:pt>
              </c:numCache>
            </c:numRef>
          </c:val>
          <c:smooth val="0"/>
        </c:ser>
        <c:ser>
          <c:idx val="19"/>
          <c:order val="6"/>
          <c:tx>
            <c:v>Uruguay</c:v>
          </c:tx>
          <c:marker>
            <c:symbol val="none"/>
          </c:marker>
          <c:cat>
            <c:numRef>
              <c:f>'Distribution of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'Distribution of SocTrans'!$B$22:$K$22</c:f>
              <c:numCache>
                <c:formatCode>General</c:formatCode>
                <c:ptCount val="10"/>
                <c:pt idx="0">
                  <c:v>0.0190374197794165</c:v>
                </c:pt>
                <c:pt idx="1">
                  <c:v>0.0306491044981808</c:v>
                </c:pt>
                <c:pt idx="2">
                  <c:v>0.0422204171136435</c:v>
                </c:pt>
                <c:pt idx="3">
                  <c:v>0.0535595142477099</c:v>
                </c:pt>
                <c:pt idx="4">
                  <c:v>0.0700410459835221</c:v>
                </c:pt>
                <c:pt idx="5">
                  <c:v>0.0831962806668621</c:v>
                </c:pt>
                <c:pt idx="6">
                  <c:v>0.100311016970247</c:v>
                </c:pt>
                <c:pt idx="7">
                  <c:v>0.126534367587697</c:v>
                </c:pt>
                <c:pt idx="8">
                  <c:v>0.166649971435978</c:v>
                </c:pt>
                <c:pt idx="9">
                  <c:v>0.307800861716743</c:v>
                </c:pt>
              </c:numCache>
            </c:numRef>
          </c:val>
          <c:smooth val="0"/>
        </c:ser>
        <c:dLbls>
          <c:showLegendKey val="0"/>
          <c:showVal val="0"/>
          <c:showCatName val="0"/>
          <c:showSerName val="0"/>
          <c:showPercent val="0"/>
          <c:showBubbleSize val="0"/>
        </c:dLbls>
        <c:marker val="1"/>
        <c:smooth val="0"/>
        <c:axId val="2086771160"/>
        <c:axId val="2086763960"/>
      </c:lineChart>
      <c:catAx>
        <c:axId val="2086771160"/>
        <c:scaling>
          <c:orientation val="minMax"/>
        </c:scaling>
        <c:delete val="0"/>
        <c:axPos val="b"/>
        <c:title>
          <c:tx>
            <c:rich>
              <a:bodyPr/>
              <a:lstStyle/>
              <a:p>
                <a:pPr>
                  <a:defRPr/>
                </a:pPr>
                <a:r>
                  <a:rPr lang="en-US"/>
                  <a:t>Income</a:t>
                </a:r>
                <a:r>
                  <a:rPr lang="en-US" baseline="0"/>
                  <a:t> Decile</a:t>
                </a:r>
                <a:endParaRPr lang="en-US"/>
              </a:p>
            </c:rich>
          </c:tx>
          <c:layout/>
          <c:overlay val="0"/>
        </c:title>
        <c:numFmt formatCode="General" sourceLinked="1"/>
        <c:majorTickMark val="out"/>
        <c:minorTickMark val="none"/>
        <c:tickLblPos val="nextTo"/>
        <c:txPr>
          <a:bodyPr/>
          <a:lstStyle/>
          <a:p>
            <a:pPr>
              <a:defRPr sz="900"/>
            </a:pPr>
            <a:endParaRPr lang="en-US"/>
          </a:p>
        </c:txPr>
        <c:crossAx val="2086763960"/>
        <c:crosses val="autoZero"/>
        <c:auto val="1"/>
        <c:lblAlgn val="ctr"/>
        <c:lblOffset val="100"/>
        <c:noMultiLvlLbl val="0"/>
      </c:catAx>
      <c:valAx>
        <c:axId val="2086763960"/>
        <c:scaling>
          <c:orientation val="minMax"/>
        </c:scaling>
        <c:delete val="0"/>
        <c:axPos val="l"/>
        <c:majorGridlines/>
        <c:title>
          <c:tx>
            <c:rich>
              <a:bodyPr rot="0" vert="horz"/>
              <a:lstStyle/>
              <a:p>
                <a:pPr>
                  <a:defRPr/>
                </a:pPr>
                <a:r>
                  <a:rPr lang="en-US"/>
                  <a:t>%</a:t>
                </a:r>
                <a:r>
                  <a:rPr lang="en-US" baseline="0"/>
                  <a:t> </a:t>
                </a:r>
                <a:r>
                  <a:rPr lang="en-US"/>
                  <a:t>of Transfers</a:t>
                </a:r>
                <a:endParaRPr lang="en-US" baseline="0"/>
              </a:p>
            </c:rich>
          </c:tx>
          <c:layout>
            <c:manualLayout>
              <c:xMode val="edge"/>
              <c:yMode val="edge"/>
              <c:x val="0.0254596888260255"/>
              <c:y val="0.457174347495903"/>
            </c:manualLayout>
          </c:layout>
          <c:overlay val="0"/>
        </c:title>
        <c:numFmt formatCode="General" sourceLinked="1"/>
        <c:majorTickMark val="out"/>
        <c:minorTickMark val="none"/>
        <c:tickLblPos val="nextTo"/>
        <c:txPr>
          <a:bodyPr/>
          <a:lstStyle/>
          <a:p>
            <a:pPr>
              <a:defRPr sz="900"/>
            </a:pPr>
            <a:endParaRPr lang="en-US"/>
          </a:p>
        </c:txPr>
        <c:crossAx val="2086771160"/>
        <c:crosses val="autoZero"/>
        <c:crossBetween val="between"/>
      </c:valAx>
    </c:plotArea>
    <c:legend>
      <c:legendPos val="r"/>
      <c:layout/>
      <c:overlay val="0"/>
      <c:txPr>
        <a:bodyPr/>
        <a:lstStyle/>
        <a:p>
          <a:pPr>
            <a:defRPr sz="80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277234798775153"/>
          <c:y val="0.0957446808510638"/>
          <c:w val="0.495843358121901"/>
          <c:h val="0.772458814988552"/>
        </c:manualLayout>
      </c:layout>
      <c:lineChart>
        <c:grouping val="standard"/>
        <c:varyColors val="0"/>
        <c:ser>
          <c:idx val="1"/>
          <c:order val="0"/>
          <c:tx>
            <c:v>Brazil</c:v>
          </c:tx>
          <c:marker>
            <c:symbol val="none"/>
          </c:marker>
          <c:cat>
            <c:numRef>
              <c:f>'% Income from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 Income from SocTrans'!$B$3:$K$3</c:f>
              <c:numCache>
                <c:formatCode>General</c:formatCode>
                <c:ptCount val="10"/>
                <c:pt idx="0">
                  <c:v>0.431721232105938</c:v>
                </c:pt>
                <c:pt idx="1">
                  <c:v>0.367347509011149</c:v>
                </c:pt>
                <c:pt idx="2">
                  <c:v>0.422004765057634</c:v>
                </c:pt>
                <c:pt idx="3">
                  <c:v>0.549539719312246</c:v>
                </c:pt>
                <c:pt idx="4">
                  <c:v>0.441237209861856</c:v>
                </c:pt>
                <c:pt idx="5">
                  <c:v>0.505246631046257</c:v>
                </c:pt>
                <c:pt idx="6">
                  <c:v>0.460911344582313</c:v>
                </c:pt>
                <c:pt idx="7">
                  <c:v>0.423281377280791</c:v>
                </c:pt>
                <c:pt idx="8">
                  <c:v>0.467724504316895</c:v>
                </c:pt>
                <c:pt idx="9">
                  <c:v>0.49722588039948</c:v>
                </c:pt>
              </c:numCache>
            </c:numRef>
          </c:val>
          <c:smooth val="0"/>
        </c:ser>
        <c:ser>
          <c:idx val="2"/>
          <c:order val="1"/>
          <c:tx>
            <c:v>Sweden</c:v>
          </c:tx>
          <c:marker>
            <c:symbol val="none"/>
          </c:marker>
          <c:cat>
            <c:numRef>
              <c:f>'% Income from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 Income from SocTrans'!$B$4:$K$4</c:f>
              <c:numCache>
                <c:formatCode>General</c:formatCode>
                <c:ptCount val="10"/>
                <c:pt idx="0">
                  <c:v>2.810036025217652</c:v>
                </c:pt>
                <c:pt idx="1">
                  <c:v>2.522238833123716</c:v>
                </c:pt>
                <c:pt idx="2">
                  <c:v>1.533795996618455</c:v>
                </c:pt>
                <c:pt idx="3">
                  <c:v>0.92830262424501</c:v>
                </c:pt>
                <c:pt idx="4">
                  <c:v>0.662163447481426</c:v>
                </c:pt>
                <c:pt idx="5">
                  <c:v>0.479173163599482</c:v>
                </c:pt>
                <c:pt idx="6">
                  <c:v>0.371826020882486</c:v>
                </c:pt>
                <c:pt idx="7">
                  <c:v>0.284579336736798</c:v>
                </c:pt>
                <c:pt idx="8">
                  <c:v>0.208882473765976</c:v>
                </c:pt>
                <c:pt idx="9">
                  <c:v>0.0597224995606737</c:v>
                </c:pt>
              </c:numCache>
            </c:numRef>
          </c:val>
          <c:smooth val="0"/>
        </c:ser>
        <c:ser>
          <c:idx val="8"/>
          <c:order val="2"/>
          <c:tx>
            <c:v>Colombia</c:v>
          </c:tx>
          <c:spPr>
            <a:ln>
              <a:solidFill>
                <a:srgbClr val="0000FF"/>
              </a:solidFill>
            </a:ln>
          </c:spPr>
          <c:marker>
            <c:symbol val="none"/>
          </c:marker>
          <c:cat>
            <c:numRef>
              <c:f>'% Income from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 Income from SocTrans'!$B$11:$K$11</c:f>
              <c:numCache>
                <c:formatCode>General</c:formatCode>
                <c:ptCount val="10"/>
                <c:pt idx="0">
                  <c:v>0.0</c:v>
                </c:pt>
                <c:pt idx="1">
                  <c:v>0.0</c:v>
                </c:pt>
                <c:pt idx="2">
                  <c:v>0.824289264762023</c:v>
                </c:pt>
                <c:pt idx="3">
                  <c:v>0.911660461119862</c:v>
                </c:pt>
                <c:pt idx="4">
                  <c:v>0.910346511684696</c:v>
                </c:pt>
                <c:pt idx="5">
                  <c:v>0.893052503248368</c:v>
                </c:pt>
                <c:pt idx="6">
                  <c:v>0.737061509323722</c:v>
                </c:pt>
                <c:pt idx="7">
                  <c:v>0.725238245503313</c:v>
                </c:pt>
                <c:pt idx="8">
                  <c:v>0.641249630654164</c:v>
                </c:pt>
                <c:pt idx="9">
                  <c:v>0.546630880182468</c:v>
                </c:pt>
              </c:numCache>
            </c:numRef>
          </c:val>
          <c:smooth val="0"/>
        </c:ser>
        <c:ser>
          <c:idx val="11"/>
          <c:order val="3"/>
          <c:tx>
            <c:v>Korea</c:v>
          </c:tx>
          <c:marker>
            <c:symbol val="none"/>
          </c:marker>
          <c:cat>
            <c:numRef>
              <c:f>'% Income from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 Income from SocTrans'!$B$14:$K$14</c:f>
              <c:numCache>
                <c:formatCode>General</c:formatCode>
                <c:ptCount val="10"/>
                <c:pt idx="0">
                  <c:v>0.412043216126657</c:v>
                </c:pt>
                <c:pt idx="1">
                  <c:v>0.21573979517589</c:v>
                </c:pt>
                <c:pt idx="2">
                  <c:v>0.176174496644295</c:v>
                </c:pt>
                <c:pt idx="3">
                  <c:v>0.149739231514005</c:v>
                </c:pt>
                <c:pt idx="4">
                  <c:v>0.140655259054751</c:v>
                </c:pt>
                <c:pt idx="5">
                  <c:v>0.133841496444289</c:v>
                </c:pt>
                <c:pt idx="6">
                  <c:v>0.125987221600675</c:v>
                </c:pt>
                <c:pt idx="7">
                  <c:v>0.100409683233928</c:v>
                </c:pt>
                <c:pt idx="8">
                  <c:v>0.0971274363778063</c:v>
                </c:pt>
                <c:pt idx="9">
                  <c:v>0.0878061305911671</c:v>
                </c:pt>
              </c:numCache>
            </c:numRef>
          </c:val>
          <c:smooth val="0"/>
        </c:ser>
        <c:ser>
          <c:idx val="12"/>
          <c:order val="4"/>
          <c:tx>
            <c:v>ROC Taiwan</c:v>
          </c:tx>
          <c:marker>
            <c:symbol val="none"/>
          </c:marker>
          <c:cat>
            <c:numRef>
              <c:f>'% Income from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 Income from SocTrans'!$B$15:$K$15</c:f>
              <c:numCache>
                <c:formatCode>General</c:formatCode>
                <c:ptCount val="10"/>
                <c:pt idx="0">
                  <c:v>0.654478655472908</c:v>
                </c:pt>
                <c:pt idx="1">
                  <c:v>0.182992983739439</c:v>
                </c:pt>
                <c:pt idx="2">
                  <c:v>0.119904088654111</c:v>
                </c:pt>
                <c:pt idx="3">
                  <c:v>0.0813089682560525</c:v>
                </c:pt>
                <c:pt idx="4">
                  <c:v>0.0714319862118795</c:v>
                </c:pt>
                <c:pt idx="5">
                  <c:v>0.0590744889035516</c:v>
                </c:pt>
                <c:pt idx="6">
                  <c:v>0.0512548687392627</c:v>
                </c:pt>
                <c:pt idx="7">
                  <c:v>0.0440385883252479</c:v>
                </c:pt>
                <c:pt idx="8">
                  <c:v>0.0399867581765465</c:v>
                </c:pt>
                <c:pt idx="9">
                  <c:v>0.0581587662702431</c:v>
                </c:pt>
              </c:numCache>
            </c:numRef>
          </c:val>
          <c:smooth val="0"/>
        </c:ser>
        <c:ser>
          <c:idx val="15"/>
          <c:order val="5"/>
          <c:tx>
            <c:v>Mexico</c:v>
          </c:tx>
          <c:marker>
            <c:symbol val="none"/>
          </c:marker>
          <c:cat>
            <c:numRef>
              <c:f>'% Income from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 Income from SocTrans'!$B$18:$K$18</c:f>
              <c:numCache>
                <c:formatCode>General</c:formatCode>
                <c:ptCount val="10"/>
                <c:pt idx="0">
                  <c:v>0.471057163490917</c:v>
                </c:pt>
                <c:pt idx="1">
                  <c:v>0.383293728450284</c:v>
                </c:pt>
                <c:pt idx="2">
                  <c:v>0.33495876450687</c:v>
                </c:pt>
                <c:pt idx="3">
                  <c:v>0.322540465061394</c:v>
                </c:pt>
                <c:pt idx="4">
                  <c:v>0.281577437332474</c:v>
                </c:pt>
                <c:pt idx="5">
                  <c:v>0.287091296029579</c:v>
                </c:pt>
                <c:pt idx="6">
                  <c:v>0.281956739761871</c:v>
                </c:pt>
                <c:pt idx="7">
                  <c:v>0.309604309563867</c:v>
                </c:pt>
                <c:pt idx="8">
                  <c:v>0.347672982625473</c:v>
                </c:pt>
                <c:pt idx="9">
                  <c:v>0.357652791955174</c:v>
                </c:pt>
              </c:numCache>
            </c:numRef>
          </c:val>
          <c:smooth val="0"/>
        </c:ser>
        <c:ser>
          <c:idx val="19"/>
          <c:order val="6"/>
          <c:tx>
            <c:v>Uruguay</c:v>
          </c:tx>
          <c:marker>
            <c:symbol val="none"/>
          </c:marker>
          <c:cat>
            <c:numRef>
              <c:f>'% Income from SocTrans'!$B$2:$K$2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 Income from SocTrans'!$B$22:$K$22</c:f>
              <c:numCache>
                <c:formatCode>General</c:formatCode>
                <c:ptCount val="10"/>
                <c:pt idx="0">
                  <c:v>0.681695652173913</c:v>
                </c:pt>
                <c:pt idx="1">
                  <c:v>0.677485154493911</c:v>
                </c:pt>
                <c:pt idx="2">
                  <c:v>0.705924448437048</c:v>
                </c:pt>
                <c:pt idx="3">
                  <c:v>0.729291267633577</c:v>
                </c:pt>
                <c:pt idx="4">
                  <c:v>0.778412004426092</c:v>
                </c:pt>
                <c:pt idx="5">
                  <c:v>0.783590453209519</c:v>
                </c:pt>
                <c:pt idx="6">
                  <c:v>0.761458398140019</c:v>
                </c:pt>
                <c:pt idx="7">
                  <c:v>0.753317514561282</c:v>
                </c:pt>
                <c:pt idx="8">
                  <c:v>0.709962420113645</c:v>
                </c:pt>
                <c:pt idx="9">
                  <c:v>0.566840761575318</c:v>
                </c:pt>
              </c:numCache>
            </c:numRef>
          </c:val>
          <c:smooth val="0"/>
        </c:ser>
        <c:dLbls>
          <c:showLegendKey val="0"/>
          <c:showVal val="0"/>
          <c:showCatName val="0"/>
          <c:showSerName val="0"/>
          <c:showPercent val="0"/>
          <c:showBubbleSize val="0"/>
        </c:dLbls>
        <c:marker val="1"/>
        <c:smooth val="0"/>
        <c:axId val="2105744024"/>
        <c:axId val="2105749768"/>
      </c:lineChart>
      <c:catAx>
        <c:axId val="2105744024"/>
        <c:scaling>
          <c:orientation val="minMax"/>
        </c:scaling>
        <c:delete val="0"/>
        <c:axPos val="b"/>
        <c:title>
          <c:tx>
            <c:rich>
              <a:bodyPr/>
              <a:lstStyle/>
              <a:p>
                <a:pPr>
                  <a:defRPr/>
                </a:pPr>
                <a:r>
                  <a:rPr lang="en-US"/>
                  <a:t>Income</a:t>
                </a:r>
                <a:r>
                  <a:rPr lang="en-US" baseline="0"/>
                  <a:t> Decile</a:t>
                </a:r>
                <a:endParaRPr lang="en-US"/>
              </a:p>
            </c:rich>
          </c:tx>
          <c:layout/>
          <c:overlay val="0"/>
        </c:title>
        <c:numFmt formatCode="General" sourceLinked="1"/>
        <c:majorTickMark val="out"/>
        <c:minorTickMark val="none"/>
        <c:tickLblPos val="nextTo"/>
        <c:crossAx val="2105749768"/>
        <c:crosses val="autoZero"/>
        <c:auto val="1"/>
        <c:lblAlgn val="ctr"/>
        <c:lblOffset val="100"/>
        <c:noMultiLvlLbl val="0"/>
      </c:catAx>
      <c:valAx>
        <c:axId val="2105749768"/>
        <c:scaling>
          <c:orientation val="minMax"/>
        </c:scaling>
        <c:delete val="0"/>
        <c:axPos val="l"/>
        <c:majorGridlines/>
        <c:title>
          <c:tx>
            <c:rich>
              <a:bodyPr rot="0" vert="horz"/>
              <a:lstStyle/>
              <a:p>
                <a:pPr>
                  <a:defRPr/>
                </a:pPr>
                <a:r>
                  <a:rPr lang="en-US"/>
                  <a:t>Social Transfers</a:t>
                </a:r>
                <a:r>
                  <a:rPr lang="en-US" baseline="0"/>
                  <a:t> as Share of  </a:t>
                </a:r>
                <a:r>
                  <a:rPr lang="en-US"/>
                  <a:t>Market Income</a:t>
                </a:r>
              </a:p>
            </c:rich>
          </c:tx>
          <c:layout/>
          <c:overlay val="0"/>
        </c:title>
        <c:numFmt formatCode="General" sourceLinked="1"/>
        <c:majorTickMark val="out"/>
        <c:minorTickMark val="none"/>
        <c:tickLblPos val="nextTo"/>
        <c:crossAx val="210574402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3137</Words>
  <Characters>17041</Characters>
  <Application>Microsoft Macintosh Word</Application>
  <DocSecurity>0</DocSecurity>
  <Lines>342</Lines>
  <Paragraphs>88</Paragraphs>
  <ScaleCrop>false</ScaleCrop>
  <Company>Duke University</Company>
  <LinksUpToDate>false</LinksUpToDate>
  <CharactersWithSpaces>20171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 &amp; Sciences Computing</dc:creator>
  <cp:keywords/>
  <dc:description/>
  <cp:lastModifiedBy>Nita Rudra</cp:lastModifiedBy>
  <cp:revision>3</cp:revision>
  <cp:lastPrinted>2014-12-18T14:03:00Z</cp:lastPrinted>
  <dcterms:created xsi:type="dcterms:W3CDTF">2015-01-21T00:34:00Z</dcterms:created>
  <dcterms:modified xsi:type="dcterms:W3CDTF">2015-01-21T00:35:00Z</dcterms:modified>
</cp:coreProperties>
</file>