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19B7E" w14:textId="77777777" w:rsidR="003973D7" w:rsidRDefault="003973D7" w:rsidP="003B7FA1">
      <w:pPr>
        <w:spacing w:line="240" w:lineRule="auto"/>
        <w:jc w:val="center"/>
        <w:rPr>
          <w:rFonts w:ascii="Times New Roman" w:hAnsi="Times New Roman" w:cs="Times New Roman"/>
          <w:b/>
          <w:sz w:val="28"/>
          <w:szCs w:val="28"/>
        </w:rPr>
      </w:pPr>
      <w:bookmarkStart w:id="0" w:name="_GoBack"/>
      <w:bookmarkEnd w:id="0"/>
      <w:r w:rsidRPr="003B7FA1">
        <w:rPr>
          <w:rFonts w:ascii="Times New Roman" w:hAnsi="Times New Roman" w:cs="Times New Roman"/>
          <w:b/>
          <w:sz w:val="28"/>
          <w:szCs w:val="28"/>
        </w:rPr>
        <w:t>Transfer Pricing and Global Poverty</w:t>
      </w:r>
    </w:p>
    <w:p w14:paraId="09C7067F" w14:textId="77777777" w:rsidR="003B7FA1" w:rsidRPr="003B7FA1" w:rsidRDefault="003B7FA1" w:rsidP="003B7FA1">
      <w:pPr>
        <w:spacing w:line="240" w:lineRule="auto"/>
        <w:jc w:val="center"/>
        <w:rPr>
          <w:rFonts w:ascii="Times New Roman" w:hAnsi="Times New Roman" w:cs="Times New Roman"/>
          <w:b/>
          <w:sz w:val="24"/>
          <w:szCs w:val="24"/>
        </w:rPr>
      </w:pPr>
      <w:r w:rsidRPr="003B7FA1">
        <w:rPr>
          <w:rFonts w:ascii="Times New Roman" w:hAnsi="Times New Roman" w:cs="Times New Roman"/>
          <w:b/>
          <w:sz w:val="24"/>
          <w:szCs w:val="24"/>
        </w:rPr>
        <w:t>Edmund J. Malesky, Duke University</w:t>
      </w:r>
    </w:p>
    <w:p w14:paraId="3350E1D2" w14:textId="77777777" w:rsidR="003B7FA1" w:rsidRDefault="003B7FA1" w:rsidP="002E07D0">
      <w:pPr>
        <w:spacing w:line="240" w:lineRule="auto"/>
        <w:rPr>
          <w:rFonts w:ascii="Times New Roman" w:hAnsi="Times New Roman" w:cs="Times New Roman"/>
          <w:b/>
        </w:rPr>
      </w:pPr>
    </w:p>
    <w:p w14:paraId="40F40B28" w14:textId="77777777" w:rsidR="003B7FA1" w:rsidRPr="00586237" w:rsidRDefault="003B7FA1" w:rsidP="002E07D0">
      <w:pPr>
        <w:spacing w:line="240" w:lineRule="auto"/>
        <w:rPr>
          <w:rFonts w:ascii="Times New Roman" w:hAnsi="Times New Roman" w:cs="Times New Roman"/>
          <w:b/>
        </w:rPr>
      </w:pPr>
      <w:r>
        <w:rPr>
          <w:rFonts w:ascii="Times New Roman" w:hAnsi="Times New Roman" w:cs="Times New Roman"/>
          <w:b/>
        </w:rPr>
        <w:t>Introduction</w:t>
      </w:r>
    </w:p>
    <w:p w14:paraId="6D5CDD83" w14:textId="77777777" w:rsidR="00083D66" w:rsidRPr="00586237" w:rsidRDefault="002E07D0" w:rsidP="002E07D0">
      <w:pPr>
        <w:spacing w:line="240" w:lineRule="auto"/>
        <w:rPr>
          <w:rFonts w:ascii="Times New Roman" w:hAnsi="Times New Roman" w:cs="Times New Roman"/>
        </w:rPr>
      </w:pPr>
      <w:r w:rsidRPr="00586237">
        <w:rPr>
          <w:rFonts w:ascii="Times New Roman" w:hAnsi="Times New Roman" w:cs="Times New Roman"/>
        </w:rPr>
        <w:t>A persistent puzzle in the International Political Economy (IPE) is the lack of a robust correlation between Foreign Direct Investment (FDI) and poverty alleviation in emerging markets.  This is especially confusing given the compelling theory that predicts poverty reductions following FDI increases</w:t>
      </w:r>
      <w:r w:rsidR="00A62812" w:rsidRPr="00586237">
        <w:rPr>
          <w:rFonts w:ascii="Times New Roman" w:hAnsi="Times New Roman" w:cs="Times New Roman"/>
        </w:rPr>
        <w:t xml:space="preserve"> (Moran 1999)</w:t>
      </w:r>
      <w:r w:rsidRPr="00586237">
        <w:rPr>
          <w:rFonts w:ascii="Times New Roman" w:hAnsi="Times New Roman" w:cs="Times New Roman"/>
        </w:rPr>
        <w:t>.  At least three general channels have been hypothesized linking FDI inflows to reductions in the poverty level</w:t>
      </w:r>
      <w:r w:rsidR="002F73B8">
        <w:rPr>
          <w:rFonts w:ascii="Times New Roman" w:hAnsi="Times New Roman" w:cs="Times New Roman"/>
        </w:rPr>
        <w:t xml:space="preserve"> (Hanson 2001)</w:t>
      </w:r>
      <w:r w:rsidR="00B71E6B">
        <w:rPr>
          <w:rFonts w:ascii="Times New Roman" w:hAnsi="Times New Roman" w:cs="Times New Roman"/>
        </w:rPr>
        <w:t xml:space="preserve">.  </w:t>
      </w:r>
      <w:r w:rsidRPr="00586237">
        <w:rPr>
          <w:rFonts w:ascii="Times New Roman" w:hAnsi="Times New Roman" w:cs="Times New Roman"/>
        </w:rPr>
        <w:t>FDI is thought to contribute to poverty alleviation through: 1) Spillovers of labor productivity, technology, and cor</w:t>
      </w:r>
      <w:r w:rsidR="002F73B8">
        <w:rPr>
          <w:rFonts w:ascii="Times New Roman" w:hAnsi="Times New Roman" w:cs="Times New Roman"/>
        </w:rPr>
        <w:t>porate governance practices</w:t>
      </w:r>
      <w:r w:rsidRPr="00586237">
        <w:rPr>
          <w:rFonts w:ascii="Times New Roman" w:hAnsi="Times New Roman" w:cs="Times New Roman"/>
        </w:rPr>
        <w:t>; 2) Market effects</w:t>
      </w:r>
      <w:r w:rsidR="00B71E6B">
        <w:rPr>
          <w:rFonts w:ascii="Times New Roman" w:hAnsi="Times New Roman" w:cs="Times New Roman"/>
        </w:rPr>
        <w:t>,</w:t>
      </w:r>
      <w:r w:rsidRPr="00586237">
        <w:rPr>
          <w:rFonts w:ascii="Times New Roman" w:hAnsi="Times New Roman" w:cs="Times New Roman"/>
        </w:rPr>
        <w:t xml:space="preserve"> as foreign invested enterprises (FIEs) contract domestic producers and sell their products in the host country, reducing co</w:t>
      </w:r>
      <w:r w:rsidR="002F73B8">
        <w:rPr>
          <w:rFonts w:ascii="Times New Roman" w:hAnsi="Times New Roman" w:cs="Times New Roman"/>
        </w:rPr>
        <w:t>nsumer costs through competition</w:t>
      </w:r>
      <w:r w:rsidRPr="00586237">
        <w:rPr>
          <w:rFonts w:ascii="Times New Roman" w:hAnsi="Times New Roman" w:cs="Times New Roman"/>
        </w:rPr>
        <w:t>; and 3) Revenue effects, as taxes paid by FIEs increase host country coffers and subsidize transfers to poorer citizens of the country</w:t>
      </w:r>
      <w:r w:rsidR="002F73B8">
        <w:rPr>
          <w:rFonts w:ascii="Times New Roman" w:hAnsi="Times New Roman" w:cs="Times New Roman"/>
        </w:rPr>
        <w:t xml:space="preserve">. </w:t>
      </w:r>
      <w:r w:rsidRPr="00586237">
        <w:rPr>
          <w:rFonts w:ascii="Times New Roman" w:hAnsi="Times New Roman" w:cs="Times New Roman"/>
        </w:rPr>
        <w:t>For all of the hypothesized channels, the empirical support i</w:t>
      </w:r>
      <w:r w:rsidR="009A64D3" w:rsidRPr="00586237">
        <w:rPr>
          <w:rFonts w:ascii="Times New Roman" w:hAnsi="Times New Roman" w:cs="Times New Roman"/>
        </w:rPr>
        <w:t xml:space="preserve">s mixed at best. Figure 1 </w:t>
      </w:r>
      <w:r w:rsidRPr="00586237">
        <w:rPr>
          <w:rFonts w:ascii="Times New Roman" w:hAnsi="Times New Roman" w:cs="Times New Roman"/>
        </w:rPr>
        <w:t xml:space="preserve">demonstrates the lack of observed correlation using a variety of poverty cutoffs, and the analysis is robust to using changes in FDI stocks as well.  </w:t>
      </w:r>
    </w:p>
    <w:p w14:paraId="1EAADE95" w14:textId="77777777" w:rsidR="00083D66" w:rsidRPr="00586237" w:rsidRDefault="00083D66" w:rsidP="00083D66">
      <w:pPr>
        <w:spacing w:line="240" w:lineRule="auto"/>
        <w:jc w:val="center"/>
        <w:rPr>
          <w:rFonts w:ascii="Times New Roman" w:hAnsi="Times New Roman" w:cs="Times New Roman"/>
          <w:b/>
        </w:rPr>
      </w:pPr>
      <w:r w:rsidRPr="00586237">
        <w:rPr>
          <w:rFonts w:ascii="Times New Roman" w:hAnsi="Times New Roman" w:cs="Times New Roman"/>
          <w:b/>
        </w:rPr>
        <w:t>[Figure 1 about Here]</w:t>
      </w:r>
    </w:p>
    <w:p w14:paraId="1C29B480" w14:textId="77777777" w:rsidR="002E07D0" w:rsidRPr="00586237" w:rsidRDefault="002E07D0" w:rsidP="002E07D0">
      <w:pPr>
        <w:spacing w:line="240" w:lineRule="auto"/>
        <w:rPr>
          <w:rFonts w:ascii="Times New Roman" w:hAnsi="Times New Roman" w:cs="Times New Roman"/>
        </w:rPr>
      </w:pPr>
      <w:r w:rsidRPr="00586237">
        <w:rPr>
          <w:rFonts w:ascii="Times New Roman" w:hAnsi="Times New Roman" w:cs="Times New Roman"/>
        </w:rPr>
        <w:t xml:space="preserve">By far the weakest support has been found for the revenue channel.  </w:t>
      </w:r>
      <w:r w:rsidR="00A62812" w:rsidRPr="00586237">
        <w:rPr>
          <w:rFonts w:ascii="Times New Roman" w:hAnsi="Times New Roman" w:cs="Times New Roman"/>
        </w:rPr>
        <w:t>There has been very little convincing work demonstrating</w:t>
      </w:r>
      <w:r w:rsidRPr="00586237">
        <w:rPr>
          <w:rFonts w:ascii="Times New Roman" w:hAnsi="Times New Roman" w:cs="Times New Roman"/>
        </w:rPr>
        <w:t xml:space="preserve"> that FIEs offer substantial increases in revenue above domestic firms, and even less evidence that FDI spurs equalizing welfare transfers.  At a distance, this non-finding is the greatest enigma, as budget data is the easiest of the dependent variables to collect and analyze</w:t>
      </w:r>
    </w:p>
    <w:p w14:paraId="06FE5916" w14:textId="77777777" w:rsidR="002E07D0" w:rsidRPr="00586237" w:rsidRDefault="00A62812" w:rsidP="002E07D0">
      <w:pPr>
        <w:spacing w:line="240" w:lineRule="auto"/>
        <w:rPr>
          <w:rFonts w:ascii="Times New Roman" w:hAnsi="Times New Roman" w:cs="Times New Roman"/>
        </w:rPr>
      </w:pPr>
      <w:r w:rsidRPr="00586237">
        <w:rPr>
          <w:rFonts w:ascii="Times New Roman" w:hAnsi="Times New Roman" w:cs="Times New Roman"/>
        </w:rPr>
        <w:t xml:space="preserve">Explanations are possible to </w:t>
      </w:r>
      <w:r w:rsidR="002E07D0" w:rsidRPr="00586237">
        <w:rPr>
          <w:rFonts w:ascii="Times New Roman" w:hAnsi="Times New Roman" w:cs="Times New Roman"/>
        </w:rPr>
        <w:t>explain the inability of FDI tax revenue to reach the poorest.  The first basket of answers</w:t>
      </w:r>
      <w:r w:rsidRPr="00586237">
        <w:rPr>
          <w:rFonts w:ascii="Times New Roman" w:hAnsi="Times New Roman" w:cs="Times New Roman"/>
        </w:rPr>
        <w:t xml:space="preserve"> is methodological, including: </w:t>
      </w:r>
      <w:r w:rsidR="002E07D0" w:rsidRPr="00586237">
        <w:rPr>
          <w:rFonts w:ascii="Times New Roman" w:hAnsi="Times New Roman" w:cs="Times New Roman"/>
        </w:rPr>
        <w:t>measureme</w:t>
      </w:r>
      <w:r w:rsidR="004E77AC" w:rsidRPr="00586237">
        <w:rPr>
          <w:rFonts w:ascii="Times New Roman" w:hAnsi="Times New Roman" w:cs="Times New Roman"/>
        </w:rPr>
        <w:t>nt error in poverty rates data</w:t>
      </w:r>
      <w:r w:rsidR="00B71E6B">
        <w:rPr>
          <w:rFonts w:ascii="Times New Roman" w:hAnsi="Times New Roman" w:cs="Times New Roman"/>
        </w:rPr>
        <w:t>,</w:t>
      </w:r>
      <w:r w:rsidR="004E77AC" w:rsidRPr="00586237">
        <w:rPr>
          <w:rFonts w:ascii="Times New Roman" w:hAnsi="Times New Roman" w:cs="Times New Roman"/>
        </w:rPr>
        <w:t xml:space="preserve"> </w:t>
      </w:r>
      <w:r w:rsidR="002E07D0" w:rsidRPr="00586237">
        <w:rPr>
          <w:rFonts w:ascii="Times New Roman" w:hAnsi="Times New Roman" w:cs="Times New Roman"/>
        </w:rPr>
        <w:t>biased selection of foreign investors into wealthier states where poverty i</w:t>
      </w:r>
      <w:r w:rsidR="00B71E6B">
        <w:rPr>
          <w:rFonts w:ascii="Times New Roman" w:hAnsi="Times New Roman" w:cs="Times New Roman"/>
        </w:rPr>
        <w:t xml:space="preserve">ncreases would be less obvious, </w:t>
      </w:r>
      <w:r w:rsidR="002E07D0" w:rsidRPr="00586237">
        <w:rPr>
          <w:rFonts w:ascii="Times New Roman" w:hAnsi="Times New Roman" w:cs="Times New Roman"/>
        </w:rPr>
        <w:t>and differing reporting rules for FDI in host countries</w:t>
      </w:r>
      <w:r w:rsidRPr="00586237">
        <w:rPr>
          <w:rFonts w:ascii="Times New Roman" w:hAnsi="Times New Roman" w:cs="Times New Roman"/>
        </w:rPr>
        <w:t xml:space="preserve"> leading to noisy estimates</w:t>
      </w:r>
      <w:r w:rsidR="002E07D0" w:rsidRPr="00586237">
        <w:rPr>
          <w:rFonts w:ascii="Times New Roman" w:hAnsi="Times New Roman" w:cs="Times New Roman"/>
        </w:rPr>
        <w:t>.  A second set of explanations accepts the empiric</w:t>
      </w:r>
      <w:r w:rsidR="00B71E6B">
        <w:rPr>
          <w:rFonts w:ascii="Times New Roman" w:hAnsi="Times New Roman" w:cs="Times New Roman"/>
        </w:rPr>
        <w:t>al basis for the non-finding, but</w:t>
      </w:r>
      <w:r w:rsidR="002E07D0" w:rsidRPr="00586237">
        <w:rPr>
          <w:rFonts w:ascii="Times New Roman" w:hAnsi="Times New Roman" w:cs="Times New Roman"/>
        </w:rPr>
        <w:t xml:space="preserve"> has sought to explain it theoretically.  These answers include: 1) Generous tax incentives and subsidies to attract foreign firms</w:t>
      </w:r>
      <w:r w:rsidR="003B7FA1">
        <w:rPr>
          <w:rFonts w:ascii="Times New Roman" w:hAnsi="Times New Roman" w:cs="Times New Roman"/>
        </w:rPr>
        <w:t xml:space="preserve"> that</w:t>
      </w:r>
      <w:r w:rsidR="002E07D0" w:rsidRPr="00586237">
        <w:rPr>
          <w:rFonts w:ascii="Times New Roman" w:hAnsi="Times New Roman" w:cs="Times New Roman"/>
        </w:rPr>
        <w:t xml:space="preserve"> often exceed the long-term revenue benefits generated</w:t>
      </w:r>
      <w:r w:rsidRPr="00586237">
        <w:rPr>
          <w:rFonts w:ascii="Times New Roman" w:hAnsi="Times New Roman" w:cs="Times New Roman"/>
        </w:rPr>
        <w:t xml:space="preserve"> (Wells et al. 2001, Head et al. 2000</w:t>
      </w:r>
      <w:r w:rsidR="004E77AC" w:rsidRPr="00586237">
        <w:rPr>
          <w:rFonts w:ascii="Times New Roman" w:hAnsi="Times New Roman" w:cs="Times New Roman"/>
        </w:rPr>
        <w:t>)</w:t>
      </w:r>
      <w:r w:rsidRPr="00586237">
        <w:rPr>
          <w:rFonts w:ascii="Times New Roman" w:hAnsi="Times New Roman" w:cs="Times New Roman"/>
        </w:rPr>
        <w:t>.</w:t>
      </w:r>
      <w:r w:rsidR="003B7FA1">
        <w:rPr>
          <w:rFonts w:ascii="Times New Roman" w:hAnsi="Times New Roman" w:cs="Times New Roman"/>
        </w:rPr>
        <w:t xml:space="preserve"> Transfer targeting that</w:t>
      </w:r>
      <w:r w:rsidR="009A64D3" w:rsidRPr="00586237">
        <w:rPr>
          <w:rFonts w:ascii="Times New Roman" w:hAnsi="Times New Roman" w:cs="Times New Roman"/>
        </w:rPr>
        <w:t xml:space="preserve"> </w:t>
      </w:r>
      <w:r w:rsidR="002E07D0" w:rsidRPr="00586237">
        <w:rPr>
          <w:rFonts w:ascii="Times New Roman" w:hAnsi="Times New Roman" w:cs="Times New Roman"/>
        </w:rPr>
        <w:t>misses the poorest recipients; 3) Inefficient or governmen</w:t>
      </w:r>
      <w:r w:rsidRPr="00586237">
        <w:rPr>
          <w:rFonts w:ascii="Times New Roman" w:hAnsi="Times New Roman" w:cs="Times New Roman"/>
        </w:rPr>
        <w:t>t spending allocations; and 4) C</w:t>
      </w:r>
      <w:r w:rsidR="002E07D0" w:rsidRPr="00586237">
        <w:rPr>
          <w:rFonts w:ascii="Times New Roman" w:hAnsi="Times New Roman" w:cs="Times New Roman"/>
        </w:rPr>
        <w:t>orruption or leakage which reduces the size and effectiveness of payments.</w:t>
      </w:r>
    </w:p>
    <w:p w14:paraId="66AC5883" w14:textId="77777777" w:rsidR="00AC039B" w:rsidRDefault="009A64D3" w:rsidP="00C04DBE">
      <w:pPr>
        <w:spacing w:line="240" w:lineRule="auto"/>
        <w:rPr>
          <w:rFonts w:ascii="Times New Roman" w:hAnsi="Times New Roman" w:cs="Times New Roman"/>
        </w:rPr>
      </w:pPr>
      <w:r w:rsidRPr="00586237">
        <w:rPr>
          <w:rFonts w:ascii="Times New Roman" w:hAnsi="Times New Roman" w:cs="Times New Roman"/>
        </w:rPr>
        <w:t>In this paper, I argue that s</w:t>
      </w:r>
      <w:r w:rsidR="002E07D0" w:rsidRPr="00586237">
        <w:rPr>
          <w:rFonts w:ascii="Times New Roman" w:hAnsi="Times New Roman" w:cs="Times New Roman"/>
        </w:rPr>
        <w:t>cholars and practitioners have overlooked a major contributing factor – transfer pricing, whereby FIEs systematically use internal p</w:t>
      </w:r>
      <w:r w:rsidR="004B50F0" w:rsidRPr="00586237">
        <w:rPr>
          <w:rFonts w:ascii="Times New Roman" w:hAnsi="Times New Roman" w:cs="Times New Roman"/>
        </w:rPr>
        <w:t>ricing strategies within their global production</w:t>
      </w:r>
      <w:r w:rsidR="002E07D0" w:rsidRPr="00586237">
        <w:rPr>
          <w:rFonts w:ascii="Times New Roman" w:hAnsi="Times New Roman" w:cs="Times New Roman"/>
        </w:rPr>
        <w:t xml:space="preserve"> networks to shift pro</w:t>
      </w:r>
      <w:r w:rsidRPr="00586237">
        <w:rPr>
          <w:rFonts w:ascii="Times New Roman" w:hAnsi="Times New Roman" w:cs="Times New Roman"/>
        </w:rPr>
        <w:t>fits out of the host country</w:t>
      </w:r>
      <w:r w:rsidR="004E77AC" w:rsidRPr="00586237">
        <w:rPr>
          <w:rFonts w:ascii="Times New Roman" w:hAnsi="Times New Roman" w:cs="Times New Roman"/>
        </w:rPr>
        <w:t xml:space="preserve">. </w:t>
      </w:r>
      <w:r w:rsidR="002E07D0" w:rsidRPr="00586237">
        <w:rPr>
          <w:rFonts w:ascii="Times New Roman" w:hAnsi="Times New Roman" w:cs="Times New Roman"/>
        </w:rPr>
        <w:t>The subject of transfer pricing has become a heated and sensitive topic over the past two years in internationally, leading organization like the Organization for Economic Cooperation and Development  (OECD) and the government of the United Kingdom to open special i</w:t>
      </w:r>
      <w:r w:rsidR="004E77AC" w:rsidRPr="00586237">
        <w:rPr>
          <w:rFonts w:ascii="Times New Roman" w:hAnsi="Times New Roman" w:cs="Times New Roman"/>
        </w:rPr>
        <w:t>nv</w:t>
      </w:r>
      <w:r w:rsidR="002F73B8">
        <w:rPr>
          <w:rFonts w:ascii="Times New Roman" w:hAnsi="Times New Roman" w:cs="Times New Roman"/>
        </w:rPr>
        <w:t>estigations into the activity (</w:t>
      </w:r>
      <w:r w:rsidR="004E77AC" w:rsidRPr="00586237">
        <w:rPr>
          <w:rFonts w:ascii="Times New Roman" w:hAnsi="Times New Roman" w:cs="Times New Roman"/>
        </w:rPr>
        <w:t>OE</w:t>
      </w:r>
      <w:r w:rsidR="00B71E6B">
        <w:rPr>
          <w:rFonts w:ascii="Times New Roman" w:hAnsi="Times New Roman" w:cs="Times New Roman"/>
        </w:rPr>
        <w:t>CD 2009,</w:t>
      </w:r>
      <w:r w:rsidR="004E77AC" w:rsidRPr="00586237">
        <w:rPr>
          <w:rFonts w:ascii="Times New Roman" w:hAnsi="Times New Roman" w:cs="Times New Roman"/>
        </w:rPr>
        <w:t xml:space="preserve"> </w:t>
      </w:r>
      <w:proofErr w:type="spellStart"/>
      <w:r w:rsidR="004E77AC" w:rsidRPr="00586237">
        <w:rPr>
          <w:rFonts w:ascii="Times New Roman" w:hAnsi="Times New Roman" w:cs="Times New Roman"/>
        </w:rPr>
        <w:t>Mirlees</w:t>
      </w:r>
      <w:proofErr w:type="spellEnd"/>
      <w:r w:rsidR="004E77AC" w:rsidRPr="00586237">
        <w:rPr>
          <w:rFonts w:ascii="Times New Roman" w:hAnsi="Times New Roman" w:cs="Times New Roman"/>
        </w:rPr>
        <w:t xml:space="preserve"> et al. 2012).  </w:t>
      </w:r>
      <w:r w:rsidR="003B7FA1">
        <w:rPr>
          <w:rFonts w:ascii="Times New Roman" w:hAnsi="Times New Roman" w:cs="Times New Roman"/>
        </w:rPr>
        <w:t>F</w:t>
      </w:r>
      <w:r w:rsidR="002E07D0" w:rsidRPr="00586237">
        <w:rPr>
          <w:rFonts w:ascii="Times New Roman" w:hAnsi="Times New Roman" w:cs="Times New Roman"/>
        </w:rPr>
        <w:t>ierce debates</w:t>
      </w:r>
      <w:r w:rsidR="003B7FA1">
        <w:rPr>
          <w:rFonts w:ascii="Times New Roman" w:hAnsi="Times New Roman" w:cs="Times New Roman"/>
        </w:rPr>
        <w:t xml:space="preserve"> have erupted</w:t>
      </w:r>
      <w:r w:rsidR="002E07D0" w:rsidRPr="00586237">
        <w:rPr>
          <w:rFonts w:ascii="Times New Roman" w:hAnsi="Times New Roman" w:cs="Times New Roman"/>
        </w:rPr>
        <w:t xml:space="preserve"> between companies</w:t>
      </w:r>
      <w:r w:rsidR="003B7FA1">
        <w:rPr>
          <w:rFonts w:ascii="Times New Roman" w:hAnsi="Times New Roman" w:cs="Times New Roman"/>
        </w:rPr>
        <w:t xml:space="preserve"> and states around the world, as g</w:t>
      </w:r>
      <w:r w:rsidR="002E07D0" w:rsidRPr="00586237">
        <w:rPr>
          <w:rFonts w:ascii="Times New Roman" w:hAnsi="Times New Roman" w:cs="Times New Roman"/>
        </w:rPr>
        <w:t>overnments worry about protecting their tax base in order to provide publ</w:t>
      </w:r>
      <w:r w:rsidR="003B7FA1">
        <w:rPr>
          <w:rFonts w:ascii="Times New Roman" w:hAnsi="Times New Roman" w:cs="Times New Roman"/>
        </w:rPr>
        <w:t>ic services to their citizens</w:t>
      </w:r>
      <w:r w:rsidR="00B71E6B">
        <w:rPr>
          <w:rFonts w:ascii="Times New Roman" w:hAnsi="Times New Roman" w:cs="Times New Roman"/>
        </w:rPr>
        <w:t>,</w:t>
      </w:r>
      <w:r w:rsidR="003B7FA1">
        <w:rPr>
          <w:rFonts w:ascii="Times New Roman" w:hAnsi="Times New Roman" w:cs="Times New Roman"/>
        </w:rPr>
        <w:t xml:space="preserve"> a</w:t>
      </w:r>
      <w:r w:rsidRPr="00586237">
        <w:rPr>
          <w:rFonts w:ascii="Times New Roman" w:hAnsi="Times New Roman" w:cs="Times New Roman"/>
        </w:rPr>
        <w:t>nd c</w:t>
      </w:r>
      <w:r w:rsidR="002E07D0" w:rsidRPr="00586237">
        <w:rPr>
          <w:rFonts w:ascii="Times New Roman" w:hAnsi="Times New Roman" w:cs="Times New Roman"/>
        </w:rPr>
        <w:t xml:space="preserve">ompanies worry that high and unpredictable tax policies damage their business prospects </w:t>
      </w:r>
      <w:r w:rsidR="003B7FA1">
        <w:rPr>
          <w:rFonts w:ascii="Times New Roman" w:hAnsi="Times New Roman" w:cs="Times New Roman"/>
        </w:rPr>
        <w:t xml:space="preserve">and hurts economic welfare. </w:t>
      </w:r>
      <w:r w:rsidR="002E07D0" w:rsidRPr="00586237">
        <w:rPr>
          <w:rFonts w:ascii="Times New Roman" w:hAnsi="Times New Roman" w:cs="Times New Roman"/>
        </w:rPr>
        <w:t xml:space="preserve">Despite the heated rhetoric between states and corporations, the discussion of transfer pricing has only played a peripheral role in </w:t>
      </w:r>
      <w:r w:rsidRPr="00586237">
        <w:rPr>
          <w:rFonts w:ascii="Times New Roman" w:hAnsi="Times New Roman" w:cs="Times New Roman"/>
        </w:rPr>
        <w:t xml:space="preserve">IPE </w:t>
      </w:r>
      <w:r w:rsidR="002E07D0" w:rsidRPr="00586237">
        <w:rPr>
          <w:rFonts w:ascii="Times New Roman" w:hAnsi="Times New Roman" w:cs="Times New Roman"/>
        </w:rPr>
        <w:t>discussions.</w:t>
      </w:r>
      <w:r w:rsidR="00A62812" w:rsidRPr="00586237">
        <w:rPr>
          <w:rStyle w:val="FootnoteReference"/>
          <w:rFonts w:ascii="Times New Roman" w:hAnsi="Times New Roman" w:cs="Times New Roman"/>
        </w:rPr>
        <w:footnoteReference w:id="1"/>
      </w:r>
      <w:r w:rsidR="002E07D0" w:rsidRPr="00586237">
        <w:rPr>
          <w:rFonts w:ascii="Times New Roman" w:hAnsi="Times New Roman" w:cs="Times New Roman"/>
        </w:rPr>
        <w:t xml:space="preserve">  </w:t>
      </w:r>
    </w:p>
    <w:p w14:paraId="7CCC8A47" w14:textId="77777777" w:rsidR="00B71E6B" w:rsidRPr="00B71E6B" w:rsidRDefault="00B71E6B" w:rsidP="00C04DBE">
      <w:pPr>
        <w:spacing w:line="240" w:lineRule="auto"/>
        <w:rPr>
          <w:rFonts w:ascii="Times New Roman" w:hAnsi="Times New Roman" w:cs="Times New Roman"/>
        </w:rPr>
      </w:pPr>
    </w:p>
    <w:p w14:paraId="4DE1CD30" w14:textId="77777777" w:rsidR="002E07D0" w:rsidRPr="00586237" w:rsidRDefault="002E07D0" w:rsidP="00C04DBE">
      <w:pPr>
        <w:spacing w:line="240" w:lineRule="auto"/>
        <w:rPr>
          <w:rFonts w:ascii="Times New Roman" w:hAnsi="Times New Roman" w:cs="Times New Roman"/>
          <w:b/>
        </w:rPr>
      </w:pPr>
      <w:r w:rsidRPr="00586237">
        <w:rPr>
          <w:rFonts w:ascii="Times New Roman" w:hAnsi="Times New Roman" w:cs="Times New Roman"/>
          <w:b/>
        </w:rPr>
        <w:lastRenderedPageBreak/>
        <w:t>What is Transfer Pricing?</w:t>
      </w:r>
    </w:p>
    <w:p w14:paraId="6A898CF7" w14:textId="77777777" w:rsidR="00C04DBE" w:rsidRPr="00586237" w:rsidRDefault="002E07D0" w:rsidP="00C04DBE">
      <w:pPr>
        <w:spacing w:line="240" w:lineRule="auto"/>
        <w:rPr>
          <w:rFonts w:ascii="Times New Roman" w:hAnsi="Times New Roman" w:cs="Times New Roman"/>
        </w:rPr>
      </w:pPr>
      <w:r w:rsidRPr="00586237">
        <w:rPr>
          <w:rFonts w:ascii="Times New Roman" w:hAnsi="Times New Roman" w:cs="Times New Roman"/>
        </w:rPr>
        <w:t>To be clear</w:t>
      </w:r>
      <w:r w:rsidR="00C04DBE" w:rsidRPr="00586237">
        <w:rPr>
          <w:rFonts w:ascii="Times New Roman" w:hAnsi="Times New Roman" w:cs="Times New Roman"/>
        </w:rPr>
        <w:t>, there is nothing illegal, unethical, or unscrupulous about the normal practice of transfer pricing when it is done according to the legal</w:t>
      </w:r>
      <w:r w:rsidR="00F6675E" w:rsidRPr="00586237">
        <w:rPr>
          <w:rFonts w:ascii="Times New Roman" w:hAnsi="Times New Roman" w:cs="Times New Roman"/>
        </w:rPr>
        <w:t xml:space="preserve"> rules of the host country. </w:t>
      </w:r>
      <w:r w:rsidR="00C04DBE" w:rsidRPr="00586237">
        <w:rPr>
          <w:rFonts w:ascii="Times New Roman" w:hAnsi="Times New Roman" w:cs="Times New Roman"/>
        </w:rPr>
        <w:t xml:space="preserve">It may be helpful to begin with some definitions.  At its most basic </w:t>
      </w:r>
      <w:r w:rsidR="00C04DBE" w:rsidRPr="00586237">
        <w:rPr>
          <w:rFonts w:ascii="Times New Roman" w:hAnsi="Times New Roman" w:cs="Times New Roman"/>
          <w:i/>
        </w:rPr>
        <w:t>“Transfer Pricing”</w:t>
      </w:r>
      <w:r w:rsidR="00C04DBE" w:rsidRPr="00586237">
        <w:rPr>
          <w:rFonts w:ascii="Times New Roman" w:hAnsi="Times New Roman" w:cs="Times New Roman"/>
        </w:rPr>
        <w:t xml:space="preserve"> is just the act of assigning internal prices for goods and services that are sold within a company and between subsidiaries of the same company. This is a normal practice that has been a part of business </w:t>
      </w:r>
      <w:r w:rsidR="00D45EE1" w:rsidRPr="00586237">
        <w:rPr>
          <w:rFonts w:ascii="Times New Roman" w:hAnsi="Times New Roman" w:cs="Times New Roman"/>
        </w:rPr>
        <w:t>since the invention of the firm (</w:t>
      </w:r>
      <w:proofErr w:type="spellStart"/>
      <w:r w:rsidR="00D45EE1" w:rsidRPr="00586237">
        <w:rPr>
          <w:rFonts w:ascii="Times New Roman" w:hAnsi="Times New Roman" w:cs="Times New Roman"/>
        </w:rPr>
        <w:t>Coase</w:t>
      </w:r>
      <w:proofErr w:type="spellEnd"/>
      <w:r w:rsidR="00D45EE1" w:rsidRPr="00586237">
        <w:rPr>
          <w:rFonts w:ascii="Times New Roman" w:hAnsi="Times New Roman" w:cs="Times New Roman"/>
        </w:rPr>
        <w:t xml:space="preserve"> 1937).</w:t>
      </w:r>
    </w:p>
    <w:p w14:paraId="39F1DA77" w14:textId="77777777" w:rsidR="00C04DBE" w:rsidRPr="00586237" w:rsidRDefault="00C04DBE" w:rsidP="00C04DBE">
      <w:pPr>
        <w:spacing w:line="240" w:lineRule="auto"/>
        <w:rPr>
          <w:rFonts w:ascii="Times New Roman" w:hAnsi="Times New Roman" w:cs="Times New Roman"/>
        </w:rPr>
      </w:pPr>
      <w:r w:rsidRPr="00586237">
        <w:rPr>
          <w:rFonts w:ascii="Times New Roman" w:hAnsi="Times New Roman" w:cs="Times New Roman"/>
        </w:rPr>
        <w:t xml:space="preserve">In more common usage, “transfer pricing” is defined as a profit allocation method used to calculate and attribute MNCs net profit (or loss) before tax in countries where it does business. Activities that fall within this rubric often include: 1) the setting of prices among divisions within an enterprise; and 2) charges for goods and services between controlled (or related) legal entities within an enterprise, including branches, subsidiaries, and, in some cases, companies sharing </w:t>
      </w:r>
      <w:r w:rsidR="00D45EE1" w:rsidRPr="00586237">
        <w:rPr>
          <w:rFonts w:ascii="Times New Roman" w:hAnsi="Times New Roman" w:cs="Times New Roman"/>
        </w:rPr>
        <w:t>members of a board of directors (OECD 2009).</w:t>
      </w:r>
      <w:r w:rsidR="00A10A58" w:rsidRPr="00586237">
        <w:rPr>
          <w:rFonts w:ascii="Times New Roman" w:hAnsi="Times New Roman" w:cs="Times New Roman"/>
        </w:rPr>
        <w:t xml:space="preserve">  </w:t>
      </w:r>
    </w:p>
    <w:p w14:paraId="0E56CEF1" w14:textId="77777777" w:rsidR="00C04DBE" w:rsidRPr="00586237" w:rsidRDefault="00C04DBE" w:rsidP="00C04DBE">
      <w:pPr>
        <w:spacing w:line="240" w:lineRule="auto"/>
        <w:rPr>
          <w:rFonts w:ascii="Times New Roman" w:hAnsi="Times New Roman" w:cs="Times New Roman"/>
        </w:rPr>
      </w:pPr>
      <w:r w:rsidRPr="00586237">
        <w:rPr>
          <w:rFonts w:ascii="Times New Roman" w:hAnsi="Times New Roman" w:cs="Times New Roman"/>
        </w:rPr>
        <w:t xml:space="preserve">In principle, a transfer price should match either what the seller would charge an independent, external customer, or what the buyer would pay an independent, external supplier.  These benchmark transactions are known as </w:t>
      </w:r>
      <w:r w:rsidRPr="00586237">
        <w:rPr>
          <w:rFonts w:ascii="Times New Roman" w:hAnsi="Times New Roman" w:cs="Times New Roman"/>
          <w:i/>
        </w:rPr>
        <w:t>“arm’s length”</w:t>
      </w:r>
      <w:r w:rsidRPr="00586237">
        <w:rPr>
          <w:rFonts w:ascii="Times New Roman" w:hAnsi="Times New Roman" w:cs="Times New Roman"/>
        </w:rPr>
        <w:t xml:space="preserve"> prices.  Where an “arm’s length” price can be determined (e.g. commodities), the identification of accurate transfer pricing is easy to verify. In some cases, accurate transfer prices are harder to identify, because the good or service in question is an intangible asset, such as a franchise license, intellectual property, or proprietary technology, for which there is n</w:t>
      </w:r>
      <w:r w:rsidR="00D45EE1" w:rsidRPr="00586237">
        <w:rPr>
          <w:rFonts w:ascii="Times New Roman" w:hAnsi="Times New Roman" w:cs="Times New Roman"/>
        </w:rPr>
        <w:t>o arm’s length prices available (Neighbor 2002).</w:t>
      </w:r>
      <w:r w:rsidRPr="00586237">
        <w:rPr>
          <w:rFonts w:ascii="Times New Roman" w:hAnsi="Times New Roman" w:cs="Times New Roman"/>
        </w:rPr>
        <w:t xml:space="preserve">  These cases are more complicated, but nonetheless entirely legal and standard operating procedure for modern MNCs.</w:t>
      </w:r>
    </w:p>
    <w:p w14:paraId="334DA082" w14:textId="77777777" w:rsidR="00A10A58" w:rsidRPr="00586237" w:rsidRDefault="00C04DBE" w:rsidP="00C04DBE">
      <w:pPr>
        <w:spacing w:line="240" w:lineRule="auto"/>
        <w:rPr>
          <w:rFonts w:ascii="Times New Roman" w:hAnsi="Times New Roman" w:cs="Times New Roman"/>
        </w:rPr>
      </w:pPr>
      <w:r w:rsidRPr="00586237">
        <w:rPr>
          <w:rFonts w:ascii="Times New Roman" w:hAnsi="Times New Roman" w:cs="Times New Roman"/>
        </w:rPr>
        <w:t>Transfer prices become a concern when they are incorrectly applied to lower profits in a division of an enterprise that is located in a country that levies high taxes, and raise profits in a country that levies no or</w:t>
      </w:r>
      <w:r w:rsidR="00D45EE1" w:rsidRPr="00586237">
        <w:rPr>
          <w:rFonts w:ascii="Times New Roman" w:hAnsi="Times New Roman" w:cs="Times New Roman"/>
        </w:rPr>
        <w:t xml:space="preserve"> low taxes, such as a tax haven (OECD 2007). </w:t>
      </w:r>
      <w:r w:rsidR="00A10A58" w:rsidRPr="00586237">
        <w:rPr>
          <w:rFonts w:ascii="Times New Roman" w:hAnsi="Times New Roman" w:cs="Times New Roman"/>
        </w:rPr>
        <w:t xml:space="preserve"> This activity </w:t>
      </w:r>
      <w:r w:rsidRPr="00586237">
        <w:rPr>
          <w:rFonts w:ascii="Times New Roman" w:hAnsi="Times New Roman" w:cs="Times New Roman"/>
        </w:rPr>
        <w:t>can be problematic when it deprives host countries of legal, tax revenue. Such activities include over-charging for equipment and inputs, over-valuing internal consulting services, payments for brands and licenses that are not charged to similar subsidiaries in other countries, and borrowing from subsidiaries in low tax environments (often tax havens). These activities place countries in the difficult positio</w:t>
      </w:r>
      <w:r w:rsidR="002F73B8">
        <w:rPr>
          <w:rFonts w:ascii="Times New Roman" w:hAnsi="Times New Roman" w:cs="Times New Roman"/>
        </w:rPr>
        <w:t xml:space="preserve">n of protecting their tax base </w:t>
      </w:r>
      <w:r w:rsidRPr="00586237">
        <w:rPr>
          <w:rFonts w:ascii="Times New Roman" w:hAnsi="Times New Roman" w:cs="Times New Roman"/>
        </w:rPr>
        <w:t xml:space="preserve">while maintaining a hospitable environment for foreign investors.  </w:t>
      </w:r>
    </w:p>
    <w:p w14:paraId="44137477" w14:textId="77777777" w:rsidR="00C04DBE" w:rsidRDefault="000243E2" w:rsidP="00C04DBE">
      <w:pPr>
        <w:spacing w:line="240" w:lineRule="auto"/>
        <w:rPr>
          <w:rFonts w:ascii="Times New Roman" w:hAnsi="Times New Roman" w:cs="Times New Roman"/>
        </w:rPr>
      </w:pPr>
      <w:r w:rsidRPr="00586237">
        <w:rPr>
          <w:rFonts w:ascii="Times New Roman" w:hAnsi="Times New Roman" w:cs="Times New Roman"/>
        </w:rPr>
        <w:t xml:space="preserve">Transfer pricing is the most common form of a set of techniques known as </w:t>
      </w:r>
      <w:r w:rsidRPr="00586237">
        <w:rPr>
          <w:rFonts w:ascii="Times New Roman" w:hAnsi="Times New Roman" w:cs="Times New Roman"/>
          <w:i/>
        </w:rPr>
        <w:t>“Profit Shifting,”</w:t>
      </w:r>
      <w:r w:rsidRPr="00586237">
        <w:rPr>
          <w:rFonts w:ascii="Times New Roman" w:hAnsi="Times New Roman" w:cs="Times New Roman"/>
        </w:rPr>
        <w:t xml:space="preserve"> which is defined as “The manipulation of costs and revenues within an MNC across taxing jurisdictions (countries) so as to record profits where they will be taxed at the lowest rate.”</w:t>
      </w:r>
      <w:r w:rsidRPr="00586237">
        <w:rPr>
          <w:rStyle w:val="FootnoteReference"/>
          <w:rFonts w:ascii="Times New Roman" w:hAnsi="Times New Roman" w:cs="Times New Roman"/>
        </w:rPr>
        <w:footnoteReference w:id="2"/>
      </w:r>
      <w:r w:rsidRPr="00586237">
        <w:rPr>
          <w:rFonts w:ascii="Times New Roman" w:hAnsi="Times New Roman" w:cs="Times New Roman"/>
        </w:rPr>
        <w:t xml:space="preserve">  </w:t>
      </w:r>
      <w:r w:rsidR="00A10A58" w:rsidRPr="00586237">
        <w:rPr>
          <w:rFonts w:ascii="Times New Roman" w:hAnsi="Times New Roman" w:cs="Times New Roman"/>
        </w:rPr>
        <w:t>Figure 2 provides two schematics of com</w:t>
      </w:r>
      <w:r w:rsidR="00AC039B" w:rsidRPr="00586237">
        <w:rPr>
          <w:rFonts w:ascii="Times New Roman" w:hAnsi="Times New Roman" w:cs="Times New Roman"/>
        </w:rPr>
        <w:t>mon</w:t>
      </w:r>
      <w:r w:rsidRPr="00586237">
        <w:rPr>
          <w:rFonts w:ascii="Times New Roman" w:hAnsi="Times New Roman" w:cs="Times New Roman"/>
        </w:rPr>
        <w:t xml:space="preserve"> techniques</w:t>
      </w:r>
      <w:r w:rsidR="00AC039B" w:rsidRPr="00586237">
        <w:rPr>
          <w:rFonts w:ascii="Times New Roman" w:hAnsi="Times New Roman" w:cs="Times New Roman"/>
        </w:rPr>
        <w:t>.  In Panel A, a</w:t>
      </w:r>
      <w:r w:rsidR="002F73B8">
        <w:rPr>
          <w:rFonts w:ascii="Times New Roman" w:hAnsi="Times New Roman" w:cs="Times New Roman"/>
        </w:rPr>
        <w:t>n</w:t>
      </w:r>
      <w:r w:rsidR="00AC039B" w:rsidRPr="00586237">
        <w:rPr>
          <w:rFonts w:ascii="Times New Roman" w:hAnsi="Times New Roman" w:cs="Times New Roman"/>
        </w:rPr>
        <w:t xml:space="preserve"> MNC (perhaps from the US) sets up two subsidiaries in Singapore (with low profit taxes (CIT=10%) and in Vietnam (with mid-range profit taxes (CIT=20%).  </w:t>
      </w:r>
      <w:r w:rsidR="00F6675E" w:rsidRPr="00586237">
        <w:rPr>
          <w:rFonts w:ascii="Times New Roman" w:hAnsi="Times New Roman" w:cs="Times New Roman"/>
        </w:rPr>
        <w:t>The Singapore affiliate is listed for tax purp</w:t>
      </w:r>
      <w:r w:rsidR="00D45EE1" w:rsidRPr="00586237">
        <w:rPr>
          <w:rFonts w:ascii="Times New Roman" w:hAnsi="Times New Roman" w:cs="Times New Roman"/>
        </w:rPr>
        <w:t>oses as the owner of the MNC’</w:t>
      </w:r>
      <w:r w:rsidR="00083D66" w:rsidRPr="00586237">
        <w:rPr>
          <w:rFonts w:ascii="Times New Roman" w:hAnsi="Times New Roman" w:cs="Times New Roman"/>
        </w:rPr>
        <w:t>s</w:t>
      </w:r>
      <w:r w:rsidR="00D45EE1" w:rsidRPr="00586237">
        <w:rPr>
          <w:rFonts w:ascii="Times New Roman" w:hAnsi="Times New Roman" w:cs="Times New Roman"/>
        </w:rPr>
        <w:t xml:space="preserve"> </w:t>
      </w:r>
      <w:r w:rsidR="00F6675E" w:rsidRPr="00586237">
        <w:rPr>
          <w:rFonts w:ascii="Times New Roman" w:hAnsi="Times New Roman" w:cs="Times New Roman"/>
        </w:rPr>
        <w:t xml:space="preserve">valuable intangible asset (perhaps a proprietary piece of software or industrial technique).  </w:t>
      </w:r>
      <w:r w:rsidRPr="00586237">
        <w:rPr>
          <w:rFonts w:ascii="Times New Roman" w:hAnsi="Times New Roman" w:cs="Times New Roman"/>
        </w:rPr>
        <w:t>But the MNC does not intend to use the</w:t>
      </w:r>
      <w:r w:rsidR="009A64D3" w:rsidRPr="00586237">
        <w:rPr>
          <w:rFonts w:ascii="Times New Roman" w:hAnsi="Times New Roman" w:cs="Times New Roman"/>
        </w:rPr>
        <w:t xml:space="preserve"> intangible asset in Singapore; </w:t>
      </w:r>
      <w:r w:rsidRPr="00586237">
        <w:rPr>
          <w:rFonts w:ascii="Times New Roman" w:hAnsi="Times New Roman" w:cs="Times New Roman"/>
        </w:rPr>
        <w:t>rather</w:t>
      </w:r>
      <w:r w:rsidR="009A64D3" w:rsidRPr="00586237">
        <w:rPr>
          <w:rFonts w:ascii="Times New Roman" w:hAnsi="Times New Roman" w:cs="Times New Roman"/>
        </w:rPr>
        <w:t>,</w:t>
      </w:r>
      <w:r w:rsidRPr="00586237">
        <w:rPr>
          <w:rFonts w:ascii="Times New Roman" w:hAnsi="Times New Roman" w:cs="Times New Roman"/>
        </w:rPr>
        <w:t xml:space="preserve"> it </w:t>
      </w:r>
      <w:r w:rsidR="002F73B8">
        <w:rPr>
          <w:rFonts w:ascii="Times New Roman" w:hAnsi="Times New Roman" w:cs="Times New Roman"/>
        </w:rPr>
        <w:t xml:space="preserve">sells it to </w:t>
      </w:r>
      <w:r w:rsidRPr="00586237">
        <w:rPr>
          <w:rFonts w:ascii="Times New Roman" w:hAnsi="Times New Roman" w:cs="Times New Roman"/>
        </w:rPr>
        <w:t xml:space="preserve">its Vietnamese subsidiary where the </w:t>
      </w:r>
      <w:r w:rsidR="00D45EE1" w:rsidRPr="00586237">
        <w:rPr>
          <w:rFonts w:ascii="Times New Roman" w:hAnsi="Times New Roman" w:cs="Times New Roman"/>
        </w:rPr>
        <w:t>manufacturing is taking place.</w:t>
      </w:r>
      <w:r w:rsidRPr="00586237">
        <w:rPr>
          <w:rFonts w:ascii="Times New Roman" w:hAnsi="Times New Roman" w:cs="Times New Roman"/>
        </w:rPr>
        <w:t xml:space="preserve"> The Singapore branch then charges the Vietnamese subsidiary an internal roya</w:t>
      </w:r>
      <w:r w:rsidR="00D45EE1" w:rsidRPr="00586237">
        <w:rPr>
          <w:rFonts w:ascii="Times New Roman" w:hAnsi="Times New Roman" w:cs="Times New Roman"/>
        </w:rPr>
        <w:t xml:space="preserve">lty for the use of the asset.  </w:t>
      </w:r>
      <w:r w:rsidRPr="00586237">
        <w:rPr>
          <w:rFonts w:ascii="Times New Roman" w:hAnsi="Times New Roman" w:cs="Times New Roman"/>
        </w:rPr>
        <w:t xml:space="preserve">Because of the expense of the asset, the Vietnamese subsidiary ends up in the red which translates into zero profit taxes in the high CIT environment.  The MNC reports profits in Singapore, where it pays the lower CIT.   Panel B shows a second version of the technique whereby the Singapore subsidiary loans capital to the Vietnamese subsidiary, booking the debt in Vietnam and the interest payments in Singapore. </w:t>
      </w:r>
    </w:p>
    <w:p w14:paraId="3967DFE2" w14:textId="77777777" w:rsidR="002F73B8" w:rsidRDefault="002F73B8">
      <w:pPr>
        <w:rPr>
          <w:rFonts w:ascii="Times New Roman" w:hAnsi="Times New Roman" w:cs="Times New Roman"/>
          <w:b/>
        </w:rPr>
      </w:pPr>
      <w:r>
        <w:rPr>
          <w:rFonts w:ascii="Times New Roman" w:hAnsi="Times New Roman" w:cs="Times New Roman"/>
          <w:b/>
        </w:rPr>
        <w:br w:type="page"/>
      </w:r>
    </w:p>
    <w:p w14:paraId="6104B518" w14:textId="77777777" w:rsidR="00B71E6B" w:rsidRPr="00586237" w:rsidRDefault="00B71E6B" w:rsidP="00B71E6B">
      <w:pPr>
        <w:spacing w:line="240" w:lineRule="auto"/>
        <w:rPr>
          <w:rFonts w:ascii="Times New Roman" w:hAnsi="Times New Roman" w:cs="Times New Roman"/>
          <w:b/>
        </w:rPr>
      </w:pPr>
      <w:r w:rsidRPr="00586237">
        <w:rPr>
          <w:rFonts w:ascii="Times New Roman" w:hAnsi="Times New Roman" w:cs="Times New Roman"/>
          <w:b/>
        </w:rPr>
        <w:lastRenderedPageBreak/>
        <w:t>The Global Cat and Mouse Game</w:t>
      </w:r>
    </w:p>
    <w:p w14:paraId="0CA44B50" w14:textId="77777777" w:rsidR="00B71E6B" w:rsidRPr="00586237" w:rsidRDefault="00B71E6B" w:rsidP="00B71E6B">
      <w:pPr>
        <w:spacing w:line="240" w:lineRule="auto"/>
        <w:rPr>
          <w:rFonts w:ascii="Times New Roman" w:hAnsi="Times New Roman" w:cs="Times New Roman"/>
        </w:rPr>
      </w:pPr>
      <w:r w:rsidRPr="00586237">
        <w:rPr>
          <w:rFonts w:ascii="Times New Roman" w:hAnsi="Times New Roman" w:cs="Times New Roman"/>
        </w:rPr>
        <w:t xml:space="preserve">In the summer of 2013, Vietnamese tax authorities engaged in a war of words with </w:t>
      </w:r>
      <w:r w:rsidRPr="00586237">
        <w:rPr>
          <w:rFonts w:ascii="Times New Roman" w:hAnsi="Times New Roman" w:cs="Times New Roman"/>
          <w:i/>
        </w:rPr>
        <w:t xml:space="preserve">Coca-Cola, </w:t>
      </w:r>
      <w:r w:rsidRPr="00586237">
        <w:rPr>
          <w:rFonts w:ascii="Times New Roman" w:hAnsi="Times New Roman" w:cs="Times New Roman"/>
        </w:rPr>
        <w:t>publically ridiculing its decision to expand operations by $300 million with new beverage plants in three provinces, despite never having declared a profit in its ten years in Vietnam, and therefore never paying any money in corporate income taxes (CIT) (</w:t>
      </w:r>
      <w:proofErr w:type="spellStart"/>
      <w:r w:rsidRPr="00586237">
        <w:rPr>
          <w:rFonts w:ascii="Times New Roman" w:hAnsi="Times New Roman" w:cs="Times New Roman"/>
        </w:rPr>
        <w:t>VietNamNet</w:t>
      </w:r>
      <w:proofErr w:type="spellEnd"/>
      <w:r w:rsidRPr="00586237">
        <w:rPr>
          <w:rFonts w:ascii="Times New Roman" w:hAnsi="Times New Roman" w:cs="Times New Roman"/>
        </w:rPr>
        <w:t xml:space="preserve"> Bridge 2013). </w:t>
      </w:r>
      <w:r w:rsidRPr="00586237">
        <w:rPr>
          <w:rFonts w:ascii="Times New Roman" w:hAnsi="Times New Roman" w:cs="Times New Roman"/>
          <w:i/>
        </w:rPr>
        <w:t xml:space="preserve">Coca-Cola </w:t>
      </w:r>
      <w:r w:rsidRPr="00586237">
        <w:rPr>
          <w:rFonts w:ascii="Times New Roman" w:hAnsi="Times New Roman" w:cs="Times New Roman"/>
        </w:rPr>
        <w:t xml:space="preserve">executives denied the charges immediately and vehemently.  They admitted to reporting losses in Vietnam, but argued that it often took the company many years to reach profitability in emerging markets, where it needed to build out substantial distribution and brand loyalty. Senior Vice President Clyde C. </w:t>
      </w:r>
      <w:proofErr w:type="spellStart"/>
      <w:r w:rsidRPr="00586237">
        <w:rPr>
          <w:rFonts w:ascii="Times New Roman" w:hAnsi="Times New Roman" w:cs="Times New Roman"/>
        </w:rPr>
        <w:t>Tuggle</w:t>
      </w:r>
      <w:proofErr w:type="spellEnd"/>
      <w:r w:rsidRPr="00586237">
        <w:rPr>
          <w:rFonts w:ascii="Times New Roman" w:hAnsi="Times New Roman" w:cs="Times New Roman"/>
        </w:rPr>
        <w:t xml:space="preserve"> claimed that, “Even in Coca-Cola’s most profitable markets, it took 25 years to earn our first gains.</w:t>
      </w:r>
      <w:r w:rsidRPr="00586237">
        <w:rPr>
          <w:rStyle w:val="FootnoteReference"/>
          <w:rFonts w:ascii="Times New Roman" w:hAnsi="Times New Roman" w:cs="Times New Roman"/>
        </w:rPr>
        <w:t xml:space="preserve"> </w:t>
      </w:r>
      <w:r w:rsidRPr="00586237">
        <w:rPr>
          <w:rFonts w:ascii="Times New Roman" w:hAnsi="Times New Roman" w:cs="Times New Roman"/>
        </w:rPr>
        <w:t xml:space="preserve"> Moreover, they reminded officials that despite not paying CIT in Vietnam, their overall tax bill was still substantial, including VAT, personal income taxes, and import duties (</w:t>
      </w:r>
      <w:proofErr w:type="spellStart"/>
      <w:r w:rsidRPr="00586237">
        <w:rPr>
          <w:rFonts w:ascii="Times New Roman" w:hAnsi="Times New Roman" w:cs="Times New Roman"/>
        </w:rPr>
        <w:t>Tuoi</w:t>
      </w:r>
      <w:proofErr w:type="spellEnd"/>
      <w:r w:rsidRPr="00586237">
        <w:rPr>
          <w:rFonts w:ascii="Times New Roman" w:hAnsi="Times New Roman" w:cs="Times New Roman"/>
        </w:rPr>
        <w:t xml:space="preserve"> Tre 2013).</w:t>
      </w:r>
    </w:p>
    <w:p w14:paraId="15E9FDA1" w14:textId="77777777" w:rsidR="00B71E6B" w:rsidRPr="00586237" w:rsidRDefault="00B71E6B" w:rsidP="00B71E6B">
      <w:pPr>
        <w:spacing w:line="240" w:lineRule="auto"/>
        <w:rPr>
          <w:rFonts w:ascii="Times New Roman" w:hAnsi="Times New Roman" w:cs="Times New Roman"/>
        </w:rPr>
      </w:pPr>
      <w:r w:rsidRPr="00586237">
        <w:rPr>
          <w:rFonts w:ascii="Times New Roman" w:hAnsi="Times New Roman" w:cs="Times New Roman"/>
        </w:rPr>
        <w:t xml:space="preserve">Soon it emerged that </w:t>
      </w:r>
      <w:r w:rsidRPr="00586237">
        <w:rPr>
          <w:rFonts w:ascii="Times New Roman" w:hAnsi="Times New Roman" w:cs="Times New Roman"/>
          <w:i/>
        </w:rPr>
        <w:t xml:space="preserve">Coca-Cola </w:t>
      </w:r>
      <w:r w:rsidRPr="00586237">
        <w:rPr>
          <w:rFonts w:ascii="Times New Roman" w:hAnsi="Times New Roman" w:cs="Times New Roman"/>
        </w:rPr>
        <w:t xml:space="preserve">was not the only company under scrutiny.  The General Department of Taxation (GDT) issued a report declaring that 57% of the 5,500 FIES it investigated (representing 60% of total foreign operations), reported net losses between 2010 and 2011.  Pushing deeper in December 2012, the GDT announced an extensive audit in several provinces, finding 122 FIEs in violation of transfer pricing rules under Circular 66/2010/TT-BTC (Circular 66), requesting additional tax payments of over $10 million.  On the list was </w:t>
      </w:r>
      <w:r w:rsidRPr="00586237">
        <w:rPr>
          <w:rFonts w:ascii="Times New Roman" w:hAnsi="Times New Roman" w:cs="Times New Roman"/>
          <w:i/>
        </w:rPr>
        <w:t>Coke</w:t>
      </w:r>
      <w:r w:rsidRPr="00586237">
        <w:rPr>
          <w:rFonts w:ascii="Times New Roman" w:hAnsi="Times New Roman" w:cs="Times New Roman"/>
        </w:rPr>
        <w:t xml:space="preserve">’s main global rival </w:t>
      </w:r>
      <w:r w:rsidRPr="00586237">
        <w:rPr>
          <w:rFonts w:ascii="Times New Roman" w:hAnsi="Times New Roman" w:cs="Times New Roman"/>
          <w:i/>
        </w:rPr>
        <w:t xml:space="preserve">Pepsi-Cola, </w:t>
      </w:r>
      <w:r w:rsidRPr="00586237">
        <w:rPr>
          <w:rFonts w:ascii="Times New Roman" w:hAnsi="Times New Roman" w:cs="Times New Roman"/>
        </w:rPr>
        <w:t xml:space="preserve">which also has been in Vietnam for over thirteen years with only minimal profits reported.   In addition, several other iconic companies were cited including </w:t>
      </w:r>
      <w:r w:rsidRPr="00586237">
        <w:rPr>
          <w:rFonts w:ascii="Times New Roman" w:hAnsi="Times New Roman" w:cs="Times New Roman"/>
          <w:i/>
        </w:rPr>
        <w:t>Adidas</w:t>
      </w:r>
      <w:r w:rsidRPr="00586237">
        <w:rPr>
          <w:rFonts w:ascii="Times New Roman" w:hAnsi="Times New Roman" w:cs="Times New Roman"/>
        </w:rPr>
        <w:t xml:space="preserve">, </w:t>
      </w:r>
      <w:r w:rsidRPr="00586237">
        <w:rPr>
          <w:rFonts w:ascii="Times New Roman" w:hAnsi="Times New Roman" w:cs="Times New Roman"/>
          <w:i/>
        </w:rPr>
        <w:t>Unilever, British American Tobacco, Big C,</w:t>
      </w:r>
      <w:r w:rsidRPr="00586237">
        <w:rPr>
          <w:rFonts w:ascii="Times New Roman" w:hAnsi="Times New Roman" w:cs="Times New Roman"/>
        </w:rPr>
        <w:t xml:space="preserve"> and </w:t>
      </w:r>
      <w:r w:rsidRPr="00586237">
        <w:rPr>
          <w:rFonts w:ascii="Times New Roman" w:hAnsi="Times New Roman" w:cs="Times New Roman"/>
          <w:i/>
        </w:rPr>
        <w:t>Metro Cash &amp; Carry</w:t>
      </w:r>
      <w:r w:rsidRPr="00586237">
        <w:rPr>
          <w:rFonts w:ascii="Times New Roman" w:hAnsi="Times New Roman" w:cs="Times New Roman"/>
        </w:rPr>
        <w:t xml:space="preserve"> (Pham 2013a). The highest level of derision was reserved for Taiwanese </w:t>
      </w:r>
      <w:proofErr w:type="spellStart"/>
      <w:r w:rsidRPr="00586237">
        <w:rPr>
          <w:rFonts w:ascii="Times New Roman" w:hAnsi="Times New Roman" w:cs="Times New Roman"/>
        </w:rPr>
        <w:t>Keagnim</w:t>
      </w:r>
      <w:proofErr w:type="spellEnd"/>
      <w:r w:rsidRPr="00586237">
        <w:rPr>
          <w:rFonts w:ascii="Times New Roman" w:hAnsi="Times New Roman" w:cs="Times New Roman"/>
        </w:rPr>
        <w:t xml:space="preserve"> </w:t>
      </w:r>
      <w:proofErr w:type="spellStart"/>
      <w:r w:rsidRPr="00586237">
        <w:rPr>
          <w:rFonts w:ascii="Times New Roman" w:hAnsi="Times New Roman" w:cs="Times New Roman"/>
        </w:rPr>
        <w:t>Vina</w:t>
      </w:r>
      <w:proofErr w:type="spellEnd"/>
      <w:r w:rsidRPr="00586237">
        <w:rPr>
          <w:rFonts w:ascii="Times New Roman" w:hAnsi="Times New Roman" w:cs="Times New Roman"/>
        </w:rPr>
        <w:t xml:space="preserve"> (122 trillion VND) and Malaysia-Taiwanese Hua Lon both cited for over $70 million in transfer pricing diversions. Famously, </w:t>
      </w:r>
      <w:proofErr w:type="spellStart"/>
      <w:r w:rsidRPr="00586237">
        <w:rPr>
          <w:rFonts w:ascii="Times New Roman" w:hAnsi="Times New Roman" w:cs="Times New Roman"/>
        </w:rPr>
        <w:t>Keangnam</w:t>
      </w:r>
      <w:proofErr w:type="spellEnd"/>
      <w:r w:rsidRPr="00586237">
        <w:rPr>
          <w:rFonts w:ascii="Times New Roman" w:hAnsi="Times New Roman" w:cs="Times New Roman"/>
        </w:rPr>
        <w:t xml:space="preserve"> declared a value of $16 million for a used production line that, if sold to a third-party, would most likely be priced at $400,000 (Pham 2013b).</w:t>
      </w:r>
    </w:p>
    <w:p w14:paraId="4CB3BA7E" w14:textId="77777777" w:rsidR="00B71E6B" w:rsidRPr="00586237" w:rsidRDefault="00B71E6B" w:rsidP="00B71E6B">
      <w:pPr>
        <w:spacing w:line="240" w:lineRule="auto"/>
        <w:rPr>
          <w:rFonts w:ascii="Times New Roman" w:hAnsi="Times New Roman" w:cs="Times New Roman"/>
        </w:rPr>
      </w:pPr>
      <w:r w:rsidRPr="00586237">
        <w:rPr>
          <w:rFonts w:ascii="Times New Roman" w:hAnsi="Times New Roman" w:cs="Times New Roman"/>
        </w:rPr>
        <w:t>Vietnamese government officials have been consistent in their claims.  They believe transfer pricing is taking place. After all, the country’s General Statistical Office (GSO 2014) currently lists the British Virgin Islands and Cayman Islands, well-known global tax havens, 5</w:t>
      </w:r>
      <w:r w:rsidRPr="00586237">
        <w:rPr>
          <w:rFonts w:ascii="Times New Roman" w:hAnsi="Times New Roman" w:cs="Times New Roman"/>
          <w:vertAlign w:val="superscript"/>
        </w:rPr>
        <w:t xml:space="preserve">th </w:t>
      </w:r>
      <w:r w:rsidRPr="00586237">
        <w:rPr>
          <w:rFonts w:ascii="Times New Roman" w:hAnsi="Times New Roman" w:cs="Times New Roman"/>
        </w:rPr>
        <w:t>and 9</w:t>
      </w:r>
      <w:r w:rsidRPr="00586237">
        <w:rPr>
          <w:rFonts w:ascii="Times New Roman" w:hAnsi="Times New Roman" w:cs="Times New Roman"/>
          <w:vertAlign w:val="superscript"/>
        </w:rPr>
        <w:t>th</w:t>
      </w:r>
      <w:r w:rsidRPr="00586237">
        <w:rPr>
          <w:rFonts w:ascii="Times New Roman" w:hAnsi="Times New Roman" w:cs="Times New Roman"/>
        </w:rPr>
        <w:t xml:space="preserve"> largest home countries for foreign investment into Vietnam.  More importantly, officials believe it is damaging the Vietnamese economy by depriving it of revenue that could be channeled to improve exactly the issues that FIEs consider to be Vietnamese biggest weaknesses: infrastructure, education, and other forms of public service delivery. FIEs, they insist, cannot have it both ways, complaining about adequate facilities while depriving the government of the resources that they need to achieve those goals (Thanh 2013).</w:t>
      </w:r>
    </w:p>
    <w:p w14:paraId="260645AC" w14:textId="77777777" w:rsidR="00B71E6B" w:rsidRPr="00586237" w:rsidRDefault="00B71E6B" w:rsidP="00B71E6B">
      <w:pPr>
        <w:spacing w:line="240" w:lineRule="auto"/>
        <w:rPr>
          <w:rFonts w:ascii="Times New Roman" w:hAnsi="Times New Roman" w:cs="Times New Roman"/>
        </w:rPr>
      </w:pPr>
      <w:r w:rsidRPr="00586237">
        <w:rPr>
          <w:rFonts w:ascii="Times New Roman" w:hAnsi="Times New Roman" w:cs="Times New Roman"/>
        </w:rPr>
        <w:t>Vietnam is not alone in its battles with famous MNCs.  In 2002, Chinese tax authorities claimed that the government annually loses over 30 billion Yuan ($5 billion) due to transfer pricing by MNCs (Yang 2002).  In a story very similar to the Vietnam-</w:t>
      </w:r>
      <w:r w:rsidRPr="00586237">
        <w:rPr>
          <w:rFonts w:ascii="Times New Roman" w:hAnsi="Times New Roman" w:cs="Times New Roman"/>
          <w:i/>
        </w:rPr>
        <w:t>Coca-Cola</w:t>
      </w:r>
      <w:r w:rsidRPr="00586237">
        <w:rPr>
          <w:rFonts w:ascii="Times New Roman" w:hAnsi="Times New Roman" w:cs="Times New Roman"/>
        </w:rPr>
        <w:t xml:space="preserve"> stand-off, the British Government questioned the tax payments of the US coffee retailer </w:t>
      </w:r>
      <w:r w:rsidRPr="00586237">
        <w:rPr>
          <w:rFonts w:ascii="Times New Roman" w:hAnsi="Times New Roman" w:cs="Times New Roman"/>
          <w:i/>
        </w:rPr>
        <w:t>Starbucks</w:t>
      </w:r>
      <w:r w:rsidRPr="00586237">
        <w:rPr>
          <w:rFonts w:ascii="Times New Roman" w:hAnsi="Times New Roman" w:cs="Times New Roman"/>
        </w:rPr>
        <w:t xml:space="preserve">, arguing that the company paid just $14.11 million in taxes despite reporting over $4.92 billion in UK sales since 1998. </w:t>
      </w:r>
      <w:r w:rsidRPr="00586237">
        <w:rPr>
          <w:rFonts w:ascii="Times New Roman" w:hAnsi="Times New Roman" w:cs="Times New Roman"/>
          <w:i/>
        </w:rPr>
        <w:t>Amazon</w:t>
      </w:r>
      <w:r w:rsidRPr="00586237">
        <w:rPr>
          <w:rFonts w:ascii="Times New Roman" w:hAnsi="Times New Roman" w:cs="Times New Roman"/>
        </w:rPr>
        <w:t xml:space="preserve">, </w:t>
      </w:r>
      <w:r w:rsidRPr="00586237">
        <w:rPr>
          <w:rFonts w:ascii="Times New Roman" w:hAnsi="Times New Roman" w:cs="Times New Roman"/>
          <w:i/>
        </w:rPr>
        <w:t>Google</w:t>
      </w:r>
      <w:r w:rsidRPr="00586237">
        <w:rPr>
          <w:rFonts w:ascii="Times New Roman" w:hAnsi="Times New Roman" w:cs="Times New Roman"/>
        </w:rPr>
        <w:t xml:space="preserve">, and </w:t>
      </w:r>
      <w:r w:rsidRPr="00586237">
        <w:rPr>
          <w:rFonts w:ascii="Times New Roman" w:hAnsi="Times New Roman" w:cs="Times New Roman"/>
          <w:i/>
        </w:rPr>
        <w:t>JP Morgan</w:t>
      </w:r>
      <w:r w:rsidRPr="00586237">
        <w:rPr>
          <w:rFonts w:ascii="Times New Roman" w:hAnsi="Times New Roman" w:cs="Times New Roman"/>
        </w:rPr>
        <w:t xml:space="preserve"> were all cited by British authorities, leading Margaret Hodge, a representative of the </w:t>
      </w:r>
      <w:proofErr w:type="spellStart"/>
      <w:r w:rsidRPr="00586237">
        <w:rPr>
          <w:rFonts w:ascii="Times New Roman" w:hAnsi="Times New Roman" w:cs="Times New Roman"/>
        </w:rPr>
        <w:t>Labour</w:t>
      </w:r>
      <w:proofErr w:type="spellEnd"/>
      <w:r w:rsidRPr="00586237">
        <w:rPr>
          <w:rFonts w:ascii="Times New Roman" w:hAnsi="Times New Roman" w:cs="Times New Roman"/>
        </w:rPr>
        <w:t xml:space="preserve"> Party in Parliament, to declare, “This is outrageous and amoral and an insult to British businesses and individuals who pay their fair share” (</w:t>
      </w:r>
      <w:proofErr w:type="spellStart"/>
      <w:r w:rsidRPr="00586237">
        <w:rPr>
          <w:rFonts w:ascii="Times New Roman" w:hAnsi="Times New Roman" w:cs="Times New Roman"/>
        </w:rPr>
        <w:t>Mathiason</w:t>
      </w:r>
      <w:proofErr w:type="spellEnd"/>
      <w:r w:rsidRPr="00586237">
        <w:rPr>
          <w:rFonts w:ascii="Times New Roman" w:hAnsi="Times New Roman" w:cs="Times New Roman"/>
        </w:rPr>
        <w:t xml:space="preserve"> 2012).</w:t>
      </w:r>
    </w:p>
    <w:p w14:paraId="59AB9F6A" w14:textId="77777777" w:rsidR="002F73B8" w:rsidRDefault="00B71E6B" w:rsidP="00C04DBE">
      <w:pPr>
        <w:spacing w:line="240" w:lineRule="auto"/>
        <w:rPr>
          <w:rFonts w:ascii="Times New Roman" w:hAnsi="Times New Roman" w:cs="Times New Roman"/>
        </w:rPr>
      </w:pPr>
      <w:r w:rsidRPr="00586237">
        <w:rPr>
          <w:rFonts w:ascii="Times New Roman" w:hAnsi="Times New Roman" w:cs="Times New Roman"/>
        </w:rPr>
        <w:t xml:space="preserve">In the United States, </w:t>
      </w:r>
      <w:r w:rsidRPr="00586237">
        <w:rPr>
          <w:rFonts w:ascii="Times New Roman" w:hAnsi="Times New Roman" w:cs="Times New Roman"/>
          <w:i/>
        </w:rPr>
        <w:t>General Electric</w:t>
      </w:r>
      <w:r w:rsidRPr="00586237">
        <w:rPr>
          <w:rFonts w:ascii="Times New Roman" w:hAnsi="Times New Roman" w:cs="Times New Roman"/>
        </w:rPr>
        <w:t xml:space="preserve"> (GE) famously accomplished a zero corporate tax bill in 2011 through an aggressive strategy of innovative accounting and offshoring of profits in its lower tax operations. The company has over 1,000 employees working on tax law alone (</w:t>
      </w:r>
      <w:proofErr w:type="spellStart"/>
      <w:r w:rsidRPr="00586237">
        <w:rPr>
          <w:rFonts w:ascii="Times New Roman" w:hAnsi="Times New Roman" w:cs="Times New Roman"/>
        </w:rPr>
        <w:t>Kocieniewski</w:t>
      </w:r>
      <w:proofErr w:type="spellEnd"/>
      <w:r w:rsidRPr="00586237">
        <w:rPr>
          <w:rFonts w:ascii="Times New Roman" w:hAnsi="Times New Roman" w:cs="Times New Roman"/>
        </w:rPr>
        <w:t xml:space="preserve"> 2011).  In 2013, </w:t>
      </w:r>
      <w:r w:rsidRPr="00586237">
        <w:rPr>
          <w:rFonts w:ascii="Times New Roman" w:hAnsi="Times New Roman" w:cs="Times New Roman"/>
          <w:i/>
        </w:rPr>
        <w:t>Apple</w:t>
      </w:r>
      <w:r w:rsidRPr="00586237">
        <w:rPr>
          <w:rFonts w:ascii="Times New Roman" w:hAnsi="Times New Roman" w:cs="Times New Roman"/>
        </w:rPr>
        <w:t>, despite record US profits, posted noticeably low taxes by using cost-sharing arrangements with its Irish subsidiary to ensure that the bulk of profit was recorded in Ireland, where Apple paid a 2% corporate tax rate, instead of 35% in the United States (</w:t>
      </w:r>
      <w:proofErr w:type="spellStart"/>
      <w:r w:rsidRPr="00586237">
        <w:rPr>
          <w:rFonts w:ascii="Times New Roman" w:hAnsi="Times New Roman" w:cs="Times New Roman"/>
        </w:rPr>
        <w:t>Sahadi</w:t>
      </w:r>
      <w:proofErr w:type="spellEnd"/>
      <w:r w:rsidRPr="00586237">
        <w:rPr>
          <w:rFonts w:ascii="Times New Roman" w:hAnsi="Times New Roman" w:cs="Times New Roman"/>
        </w:rPr>
        <w:t xml:space="preserve"> 2013).  Apple’s vehicle was actually a technique so common among corporate tax planners that it actually had its own brand name, “The Double </w:t>
      </w:r>
      <w:r w:rsidRPr="00586237">
        <w:rPr>
          <w:rFonts w:ascii="Times New Roman" w:hAnsi="Times New Roman" w:cs="Times New Roman"/>
        </w:rPr>
        <w:lastRenderedPageBreak/>
        <w:t xml:space="preserve">Irish Dutch Sandwich.” Court cases demonstrate that the </w:t>
      </w:r>
      <w:r w:rsidRPr="00586237">
        <w:rPr>
          <w:rFonts w:ascii="Times New Roman" w:hAnsi="Times New Roman" w:cs="Times New Roman"/>
          <w:i/>
        </w:rPr>
        <w:t>GE</w:t>
      </w:r>
      <w:r w:rsidRPr="00586237">
        <w:rPr>
          <w:rFonts w:ascii="Times New Roman" w:hAnsi="Times New Roman" w:cs="Times New Roman"/>
        </w:rPr>
        <w:t xml:space="preserve"> and </w:t>
      </w:r>
      <w:r w:rsidRPr="00586237">
        <w:rPr>
          <w:rFonts w:ascii="Times New Roman" w:hAnsi="Times New Roman" w:cs="Times New Roman"/>
          <w:i/>
        </w:rPr>
        <w:t>Apple</w:t>
      </w:r>
      <w:r w:rsidRPr="00586237">
        <w:rPr>
          <w:rFonts w:ascii="Times New Roman" w:hAnsi="Times New Roman" w:cs="Times New Roman"/>
        </w:rPr>
        <w:t xml:space="preserve"> strategies are not new and have </w:t>
      </w:r>
      <w:r w:rsidR="002F73B8">
        <w:rPr>
          <w:rFonts w:ascii="Times New Roman" w:hAnsi="Times New Roman" w:cs="Times New Roman"/>
        </w:rPr>
        <w:t>been taking place for some time</w:t>
      </w:r>
      <w:r w:rsidRPr="00586237">
        <w:rPr>
          <w:rFonts w:ascii="Times New Roman" w:hAnsi="Times New Roman" w:cs="Times New Roman"/>
        </w:rPr>
        <w:t xml:space="preserve"> (</w:t>
      </w:r>
      <w:proofErr w:type="spellStart"/>
      <w:r w:rsidRPr="00586237">
        <w:rPr>
          <w:rFonts w:ascii="Times New Roman" w:hAnsi="Times New Roman" w:cs="Times New Roman"/>
        </w:rPr>
        <w:t>Wheerler</w:t>
      </w:r>
      <w:proofErr w:type="spellEnd"/>
      <w:r w:rsidRPr="00586237">
        <w:rPr>
          <w:rFonts w:ascii="Times New Roman" w:hAnsi="Times New Roman" w:cs="Times New Roman"/>
        </w:rPr>
        <w:t xml:space="preserve"> 1988).  </w:t>
      </w:r>
    </w:p>
    <w:p w14:paraId="280F8DBC" w14:textId="77777777" w:rsidR="00C04DBE" w:rsidRPr="00586237" w:rsidRDefault="003973D7" w:rsidP="00C04DBE">
      <w:pPr>
        <w:spacing w:line="240" w:lineRule="auto"/>
        <w:rPr>
          <w:rFonts w:ascii="Times New Roman" w:hAnsi="Times New Roman" w:cs="Times New Roman"/>
          <w:b/>
        </w:rPr>
      </w:pPr>
      <w:r w:rsidRPr="00586237">
        <w:rPr>
          <w:rFonts w:ascii="Times New Roman" w:hAnsi="Times New Roman" w:cs="Times New Roman"/>
          <w:b/>
        </w:rPr>
        <w:t>Drivers of the Global Increase in Transfer Pricing</w:t>
      </w:r>
    </w:p>
    <w:p w14:paraId="77BD322C" w14:textId="77777777" w:rsidR="00C04DBE" w:rsidRPr="00586237" w:rsidRDefault="002F73B8" w:rsidP="00C04DBE">
      <w:pPr>
        <w:spacing w:line="240" w:lineRule="auto"/>
        <w:rPr>
          <w:rFonts w:ascii="Times New Roman" w:hAnsi="Times New Roman" w:cs="Times New Roman"/>
        </w:rPr>
      </w:pPr>
      <w:proofErr w:type="spellStart"/>
      <w:r>
        <w:rPr>
          <w:rFonts w:ascii="Times New Roman" w:hAnsi="Times New Roman" w:cs="Times New Roman"/>
        </w:rPr>
        <w:t>Fouor</w:t>
      </w:r>
      <w:proofErr w:type="spellEnd"/>
      <w:r>
        <w:rPr>
          <w:rFonts w:ascii="Times New Roman" w:hAnsi="Times New Roman" w:cs="Times New Roman"/>
        </w:rPr>
        <w:t xml:space="preserve"> </w:t>
      </w:r>
      <w:r w:rsidR="00C04DBE" w:rsidRPr="00586237">
        <w:rPr>
          <w:rFonts w:ascii="Times New Roman" w:hAnsi="Times New Roman" w:cs="Times New Roman"/>
        </w:rPr>
        <w:t xml:space="preserve">forces have combined to generate what </w:t>
      </w:r>
      <w:proofErr w:type="spellStart"/>
      <w:r w:rsidR="00C04DBE" w:rsidRPr="00586237">
        <w:rPr>
          <w:rFonts w:ascii="Times New Roman" w:hAnsi="Times New Roman" w:cs="Times New Roman"/>
          <w:i/>
        </w:rPr>
        <w:t>PriceWaterhouse</w:t>
      </w:r>
      <w:proofErr w:type="spellEnd"/>
      <w:r w:rsidR="00C04DBE" w:rsidRPr="00586237">
        <w:rPr>
          <w:rFonts w:ascii="Times New Roman" w:hAnsi="Times New Roman" w:cs="Times New Roman"/>
          <w:i/>
        </w:rPr>
        <w:t xml:space="preserve"> Coopers</w:t>
      </w:r>
      <w:r w:rsidR="00C04DBE" w:rsidRPr="00586237">
        <w:rPr>
          <w:rFonts w:ascii="Times New Roman" w:hAnsi="Times New Roman" w:cs="Times New Roman"/>
        </w:rPr>
        <w:t xml:space="preserve"> (2013), one of the largest global accountancies</w:t>
      </w:r>
      <w:r w:rsidR="00D45EE1" w:rsidRPr="00586237">
        <w:rPr>
          <w:rFonts w:ascii="Times New Roman" w:hAnsi="Times New Roman" w:cs="Times New Roman"/>
        </w:rPr>
        <w:t xml:space="preserve"> with a sizable transfer pricing consultancy business,</w:t>
      </w:r>
      <w:r w:rsidR="00C04DBE" w:rsidRPr="00586237">
        <w:rPr>
          <w:rFonts w:ascii="Times New Roman" w:hAnsi="Times New Roman" w:cs="Times New Roman"/>
        </w:rPr>
        <w:t xml:space="preserve"> has called the “Perfect Storm” for transfer pricing.  </w:t>
      </w:r>
    </w:p>
    <w:p w14:paraId="303AA9C3" w14:textId="77777777" w:rsidR="002F73B8" w:rsidRDefault="00C04DBE" w:rsidP="00C04DBE">
      <w:pPr>
        <w:spacing w:line="240" w:lineRule="auto"/>
        <w:rPr>
          <w:rFonts w:ascii="Times New Roman" w:hAnsi="Times New Roman" w:cs="Times New Roman"/>
        </w:rPr>
      </w:pPr>
      <w:r w:rsidRPr="00586237">
        <w:rPr>
          <w:rFonts w:ascii="Times New Roman" w:hAnsi="Times New Roman" w:cs="Times New Roman"/>
        </w:rPr>
        <w:t>First, rapidly expanding international trade has increased the magnitude and diversity of products available to companies producing goods and services around the world.  Second, the expansion of FDI, particularly the surge of FDI into developing countries in the past two decades has expanded the number of foreign subsidiaries working in any given host country, forcing host countries to deal with different accounting practices, corporate cultures, and the unique home-country tax jurisdictions of their new guests.  Third, the rise of Multinational Corporations (MNCs) and the mainstreaming of international production chains that leads to components of products being developed in multiple countries around the world, means that MNCs are now operating under a wide variety of tax codes that provide very different opportunities and risks. Today, more products reach customers through production by MNC affilia</w:t>
      </w:r>
      <w:r w:rsidR="00D45EE1" w:rsidRPr="00586237">
        <w:rPr>
          <w:rFonts w:ascii="Times New Roman" w:hAnsi="Times New Roman" w:cs="Times New Roman"/>
        </w:rPr>
        <w:t xml:space="preserve">tes than through direct exports (UNCTAD 2013, Stern 2010). </w:t>
      </w:r>
      <w:r w:rsidRPr="00586237">
        <w:rPr>
          <w:rFonts w:ascii="Times New Roman" w:hAnsi="Times New Roman" w:cs="Times New Roman"/>
        </w:rPr>
        <w:t xml:space="preserve"> Fourth, the information age has increased the value of intellectual property and technology</w:t>
      </w:r>
      <w:r w:rsidR="002F73B8">
        <w:rPr>
          <w:rFonts w:ascii="Times New Roman" w:hAnsi="Times New Roman" w:cs="Times New Roman"/>
        </w:rPr>
        <w:t xml:space="preserve">. </w:t>
      </w:r>
      <w:r w:rsidRPr="00586237">
        <w:rPr>
          <w:rFonts w:ascii="Times New Roman" w:hAnsi="Times New Roman" w:cs="Times New Roman"/>
        </w:rPr>
        <w:t>The use of proprietary knowledge, techniques, and intellectual property as strategic assets means that there is not a publically available market for these activities.  True price discovery for intangible assets is impossible, because arms’ length transactions simply do not exist for most these goods and activities.</w:t>
      </w:r>
      <w:r w:rsidR="002F73B8">
        <w:rPr>
          <w:rFonts w:ascii="Times New Roman" w:hAnsi="Times New Roman" w:cs="Times New Roman"/>
        </w:rPr>
        <w:t xml:space="preserve"> </w:t>
      </w:r>
    </w:p>
    <w:p w14:paraId="558F6758" w14:textId="77777777" w:rsidR="00C04DBE" w:rsidRPr="00586237" w:rsidRDefault="002F73B8" w:rsidP="00C04DBE">
      <w:pPr>
        <w:spacing w:line="240" w:lineRule="auto"/>
        <w:rPr>
          <w:rFonts w:ascii="Times New Roman" w:hAnsi="Times New Roman" w:cs="Times New Roman"/>
        </w:rPr>
      </w:pPr>
      <w:r>
        <w:rPr>
          <w:rFonts w:ascii="Times New Roman" w:hAnsi="Times New Roman" w:cs="Times New Roman"/>
        </w:rPr>
        <w:t>These four</w:t>
      </w:r>
      <w:r w:rsidR="00C04DBE" w:rsidRPr="00586237">
        <w:rPr>
          <w:rFonts w:ascii="Times New Roman" w:hAnsi="Times New Roman" w:cs="Times New Roman"/>
        </w:rPr>
        <w:t xml:space="preserve"> forces have combined to make transfer pricing an inevitable fact of life for national policy-makers.  </w:t>
      </w:r>
    </w:p>
    <w:p w14:paraId="797C7C13" w14:textId="77777777" w:rsidR="00900D29" w:rsidRPr="00586237" w:rsidRDefault="003973D7" w:rsidP="00C04DBE">
      <w:pPr>
        <w:spacing w:line="240" w:lineRule="auto"/>
        <w:rPr>
          <w:rFonts w:ascii="Times New Roman" w:hAnsi="Times New Roman" w:cs="Times New Roman"/>
          <w:b/>
        </w:rPr>
      </w:pPr>
      <w:r w:rsidRPr="00586237">
        <w:rPr>
          <w:rFonts w:ascii="Times New Roman" w:hAnsi="Times New Roman" w:cs="Times New Roman"/>
          <w:b/>
        </w:rPr>
        <w:t>Is Transfer Pricing Reducing the Poverty Alleviation Effectiveness of FDI</w:t>
      </w:r>
      <w:r w:rsidR="00D35106" w:rsidRPr="00586237">
        <w:rPr>
          <w:rFonts w:ascii="Times New Roman" w:hAnsi="Times New Roman" w:cs="Times New Roman"/>
          <w:b/>
        </w:rPr>
        <w:t>?</w:t>
      </w:r>
    </w:p>
    <w:p w14:paraId="37B0CE54" w14:textId="77777777" w:rsidR="00D35106" w:rsidRPr="00586237" w:rsidRDefault="00D35106" w:rsidP="00C04DBE">
      <w:pPr>
        <w:spacing w:line="240" w:lineRule="auto"/>
        <w:rPr>
          <w:rFonts w:ascii="Times New Roman" w:hAnsi="Times New Roman" w:cs="Times New Roman"/>
        </w:rPr>
      </w:pPr>
      <w:r w:rsidRPr="00586237">
        <w:rPr>
          <w:rFonts w:ascii="Times New Roman" w:hAnsi="Times New Roman" w:cs="Times New Roman"/>
        </w:rPr>
        <w:t>Although it is hard to know for certain, there is strong reason to believe that transfer pricing activities may be reducing the developmental impact of FDI flows.  The best empirical analyses thus far have generated jaw dropping numbers about exactly how much revenue is escaping from developing countries.</w:t>
      </w:r>
      <w:r w:rsidR="009A64D3" w:rsidRPr="00586237">
        <w:rPr>
          <w:rFonts w:ascii="Times New Roman" w:hAnsi="Times New Roman" w:cs="Times New Roman"/>
        </w:rPr>
        <w:t xml:space="preserve">  </w:t>
      </w:r>
    </w:p>
    <w:p w14:paraId="14E835E0" w14:textId="77777777" w:rsidR="00C873F2" w:rsidRPr="00586237" w:rsidRDefault="00C873F2" w:rsidP="002E2BD2">
      <w:pPr>
        <w:autoSpaceDE w:val="0"/>
        <w:autoSpaceDN w:val="0"/>
        <w:adjustRightInd w:val="0"/>
        <w:spacing w:after="0" w:line="240" w:lineRule="auto"/>
        <w:rPr>
          <w:rFonts w:ascii="Times New Roman" w:hAnsi="Times New Roman" w:cs="Times New Roman"/>
        </w:rPr>
      </w:pPr>
      <w:r w:rsidRPr="00586237">
        <w:rPr>
          <w:rFonts w:ascii="Times New Roman" w:hAnsi="Times New Roman" w:cs="Times New Roman"/>
        </w:rPr>
        <w:t>Using changes in the economic activities of known tax havens</w:t>
      </w:r>
      <w:r w:rsidR="002E2BD2" w:rsidRPr="00586237">
        <w:rPr>
          <w:rFonts w:ascii="Times New Roman" w:hAnsi="Times New Roman" w:cs="Times New Roman"/>
        </w:rPr>
        <w:t>, authors have begun</w:t>
      </w:r>
      <w:r w:rsidRPr="00586237">
        <w:rPr>
          <w:rFonts w:ascii="Times New Roman" w:hAnsi="Times New Roman" w:cs="Times New Roman"/>
        </w:rPr>
        <w:t xml:space="preserve"> to provide estimates of the change in revenue flows round the world.  Hines (2010</w:t>
      </w:r>
      <w:r w:rsidR="00117236" w:rsidRPr="00586237">
        <w:rPr>
          <w:rFonts w:ascii="Times New Roman" w:hAnsi="Times New Roman" w:cs="Times New Roman"/>
        </w:rPr>
        <w:t>a</w:t>
      </w:r>
      <w:r w:rsidRPr="00586237">
        <w:rPr>
          <w:rFonts w:ascii="Times New Roman" w:hAnsi="Times New Roman" w:cs="Times New Roman"/>
        </w:rPr>
        <w:t xml:space="preserve">), for instance shows that 31% of global FDI </w:t>
      </w:r>
      <w:r w:rsidR="002E2BD2" w:rsidRPr="00586237">
        <w:rPr>
          <w:rFonts w:ascii="Times New Roman" w:hAnsi="Times New Roman" w:cs="Times New Roman"/>
        </w:rPr>
        <w:t xml:space="preserve">now </w:t>
      </w:r>
      <w:r w:rsidRPr="00586237">
        <w:rPr>
          <w:rFonts w:ascii="Times New Roman" w:hAnsi="Times New Roman" w:cs="Times New Roman"/>
        </w:rPr>
        <w:t>originates in tax havens</w:t>
      </w:r>
      <w:r w:rsidR="002E2BD2" w:rsidRPr="00586237">
        <w:rPr>
          <w:rFonts w:ascii="Times New Roman" w:hAnsi="Times New Roman" w:cs="Times New Roman"/>
        </w:rPr>
        <w:t>, 6.06% of foreign employee compensation was paid</w:t>
      </w:r>
      <w:r w:rsidR="00104A35">
        <w:rPr>
          <w:rFonts w:ascii="Times New Roman" w:hAnsi="Times New Roman" w:cs="Times New Roman"/>
        </w:rPr>
        <w:t xml:space="preserve"> in havens</w:t>
      </w:r>
      <w:r w:rsidR="002E2BD2" w:rsidRPr="00586237">
        <w:rPr>
          <w:rFonts w:ascii="Times New Roman" w:hAnsi="Times New Roman" w:cs="Times New Roman"/>
        </w:rPr>
        <w:t>, and 6.49% of the foreign property, plant, and equipment of American firms is held by these special locations.</w:t>
      </w:r>
      <w:r w:rsidR="00F26FB3" w:rsidRPr="00586237">
        <w:rPr>
          <w:rFonts w:ascii="Times New Roman" w:hAnsi="Times New Roman" w:cs="Times New Roman"/>
        </w:rPr>
        <w:t xml:space="preserve">  The Cayman Island</w:t>
      </w:r>
      <w:r w:rsidR="00117236" w:rsidRPr="00586237">
        <w:rPr>
          <w:rFonts w:ascii="Times New Roman" w:hAnsi="Times New Roman" w:cs="Times New Roman"/>
        </w:rPr>
        <w:t>s for instance has a population</w:t>
      </w:r>
      <w:r w:rsidR="00F26FB3" w:rsidRPr="00586237">
        <w:rPr>
          <w:rFonts w:ascii="Times New Roman" w:hAnsi="Times New Roman" w:cs="Times New Roman"/>
        </w:rPr>
        <w:t xml:space="preserve"> of 57,0</w:t>
      </w:r>
      <w:r w:rsidR="004B50F0" w:rsidRPr="00586237">
        <w:rPr>
          <w:rFonts w:ascii="Times New Roman" w:hAnsi="Times New Roman" w:cs="Times New Roman"/>
        </w:rPr>
        <w:t>00 people, but</w:t>
      </w:r>
      <w:r w:rsidR="00117236" w:rsidRPr="00586237">
        <w:rPr>
          <w:rFonts w:ascii="Times New Roman" w:hAnsi="Times New Roman" w:cs="Times New Roman"/>
        </w:rPr>
        <w:t xml:space="preserve"> 92,000 companies that</w:t>
      </w:r>
      <w:r w:rsidR="00F26FB3" w:rsidRPr="00586237">
        <w:rPr>
          <w:rFonts w:ascii="Times New Roman" w:hAnsi="Times New Roman" w:cs="Times New Roman"/>
        </w:rPr>
        <w:t xml:space="preserve"> account for $1.4 trillion dollars in bank assets and liabilities according to the Bank for International Settlements (BIS) (Sachs 2013). </w:t>
      </w:r>
      <w:r w:rsidR="001D7369" w:rsidRPr="00586237">
        <w:rPr>
          <w:rFonts w:ascii="Times New Roman" w:hAnsi="Times New Roman" w:cs="Times New Roman"/>
        </w:rPr>
        <w:t xml:space="preserve"> </w:t>
      </w:r>
      <w:r w:rsidR="002E2BD2" w:rsidRPr="00586237">
        <w:rPr>
          <w:rFonts w:ascii="Times New Roman" w:hAnsi="Times New Roman" w:cs="Times New Roman"/>
        </w:rPr>
        <w:t xml:space="preserve">Estimates also show that </w:t>
      </w:r>
      <w:r w:rsidR="00E12CA5" w:rsidRPr="00586237">
        <w:rPr>
          <w:rFonts w:ascii="Times New Roman" w:hAnsi="Times New Roman" w:cs="Times New Roman"/>
        </w:rPr>
        <w:t>42</w:t>
      </w:r>
      <w:r w:rsidR="002E2BD2" w:rsidRPr="00586237">
        <w:rPr>
          <w:rFonts w:ascii="Times New Roman" w:hAnsi="Times New Roman" w:cs="Times New Roman"/>
        </w:rPr>
        <w:t xml:space="preserve">% of US corporate </w:t>
      </w:r>
      <w:r w:rsidR="00E12CA5" w:rsidRPr="00586237">
        <w:rPr>
          <w:rFonts w:ascii="Times New Roman" w:hAnsi="Times New Roman" w:cs="Times New Roman"/>
        </w:rPr>
        <w:t>earnings are reported in known tax havens, which is shocking because only 11% of value added is creat</w:t>
      </w:r>
      <w:r w:rsidR="00117236" w:rsidRPr="00586237">
        <w:rPr>
          <w:rFonts w:ascii="Times New Roman" w:hAnsi="Times New Roman" w:cs="Times New Roman"/>
        </w:rPr>
        <w:t>ed in those very same locations (Hines 2010b).</w:t>
      </w:r>
      <w:r w:rsidR="00E12CA5" w:rsidRPr="00586237">
        <w:rPr>
          <w:rStyle w:val="FootnoteReference"/>
          <w:rFonts w:ascii="Times New Roman" w:hAnsi="Times New Roman" w:cs="Times New Roman"/>
        </w:rPr>
        <w:footnoteReference w:id="3"/>
      </w:r>
      <w:r w:rsidR="00E12CA5" w:rsidRPr="00586237">
        <w:rPr>
          <w:rFonts w:ascii="Times New Roman" w:hAnsi="Times New Roman" w:cs="Times New Roman"/>
        </w:rPr>
        <w:t xml:space="preserve"> </w:t>
      </w:r>
      <w:r w:rsidR="00083D66" w:rsidRPr="00586237">
        <w:rPr>
          <w:rFonts w:ascii="Times New Roman" w:hAnsi="Times New Roman" w:cs="Times New Roman"/>
        </w:rPr>
        <w:t xml:space="preserve"> The juxtaposition of those statistics send</w:t>
      </w:r>
      <w:r w:rsidR="00F26FB3" w:rsidRPr="00586237">
        <w:rPr>
          <w:rFonts w:ascii="Times New Roman" w:hAnsi="Times New Roman" w:cs="Times New Roman"/>
        </w:rPr>
        <w:t>s</w:t>
      </w:r>
      <w:r w:rsidR="00083D66" w:rsidRPr="00586237">
        <w:rPr>
          <w:rFonts w:ascii="Times New Roman" w:hAnsi="Times New Roman" w:cs="Times New Roman"/>
        </w:rPr>
        <w:t xml:space="preserve"> a clear message – MNCs are not booking the profits in the places where they are producing them.</w:t>
      </w:r>
    </w:p>
    <w:p w14:paraId="2B677F2F" w14:textId="77777777" w:rsidR="00E12CA5" w:rsidRPr="00586237" w:rsidRDefault="00E12CA5" w:rsidP="002E2BD2">
      <w:pPr>
        <w:autoSpaceDE w:val="0"/>
        <w:autoSpaceDN w:val="0"/>
        <w:adjustRightInd w:val="0"/>
        <w:spacing w:after="0" w:line="240" w:lineRule="auto"/>
        <w:rPr>
          <w:rFonts w:ascii="Times New Roman" w:hAnsi="Times New Roman" w:cs="Times New Roman"/>
        </w:rPr>
      </w:pPr>
    </w:p>
    <w:p w14:paraId="3C86F961" w14:textId="77777777" w:rsidR="00E12CA5" w:rsidRPr="00586237" w:rsidRDefault="00083D66" w:rsidP="00E12CA5">
      <w:pPr>
        <w:autoSpaceDE w:val="0"/>
        <w:autoSpaceDN w:val="0"/>
        <w:adjustRightInd w:val="0"/>
        <w:spacing w:after="0" w:line="240" w:lineRule="auto"/>
        <w:rPr>
          <w:rFonts w:ascii="Times New Roman" w:hAnsi="Times New Roman" w:cs="Times New Roman"/>
        </w:rPr>
      </w:pPr>
      <w:r w:rsidRPr="00586237">
        <w:rPr>
          <w:rFonts w:ascii="Times New Roman" w:hAnsi="Times New Roman" w:cs="Times New Roman"/>
        </w:rPr>
        <w:t xml:space="preserve">But has this </w:t>
      </w:r>
      <w:r w:rsidR="00E12CA5" w:rsidRPr="00586237">
        <w:rPr>
          <w:rFonts w:ascii="Times New Roman" w:hAnsi="Times New Roman" w:cs="Times New Roman"/>
        </w:rPr>
        <w:t>transfer pricing led to su</w:t>
      </w:r>
      <w:r w:rsidR="00104A35">
        <w:rPr>
          <w:rFonts w:ascii="Times New Roman" w:hAnsi="Times New Roman" w:cs="Times New Roman"/>
        </w:rPr>
        <w:t>bstantial revenue loss? Using</w:t>
      </w:r>
      <w:r w:rsidR="00E12CA5" w:rsidRPr="00586237">
        <w:rPr>
          <w:rFonts w:ascii="Times New Roman" w:hAnsi="Times New Roman" w:cs="Times New Roman"/>
        </w:rPr>
        <w:t xml:space="preserve"> balance of payments data</w:t>
      </w:r>
      <w:r w:rsidRPr="00586237">
        <w:rPr>
          <w:rFonts w:ascii="Times New Roman" w:hAnsi="Times New Roman" w:cs="Times New Roman"/>
        </w:rPr>
        <w:t xml:space="preserve"> and a clever exploitation of reported profits in tax havens</w:t>
      </w:r>
      <w:r w:rsidR="00E12CA5" w:rsidRPr="00586237">
        <w:rPr>
          <w:rFonts w:ascii="Times New Roman" w:hAnsi="Times New Roman" w:cs="Times New Roman"/>
        </w:rPr>
        <w:t xml:space="preserve">, </w:t>
      </w:r>
      <w:proofErr w:type="spellStart"/>
      <w:r w:rsidR="00E12CA5" w:rsidRPr="00586237">
        <w:rPr>
          <w:rFonts w:ascii="Times New Roman" w:hAnsi="Times New Roman" w:cs="Times New Roman"/>
        </w:rPr>
        <w:t>Zucman</w:t>
      </w:r>
      <w:proofErr w:type="spellEnd"/>
      <w:r w:rsidR="00E12CA5" w:rsidRPr="00586237">
        <w:rPr>
          <w:rFonts w:ascii="Times New Roman" w:hAnsi="Times New Roman" w:cs="Times New Roman"/>
        </w:rPr>
        <w:t xml:space="preserve"> (2014) concludes that the effective tax rate paid by American firms has declined by 33%, from 30 to 20 percent between 1998 and 2013.  The net loss to the US tax payer in 2013 was $200 billion.  Not all of the decline in the effect tax rate can be attributed to tax </w:t>
      </w:r>
      <w:r w:rsidR="00E12CA5" w:rsidRPr="00586237">
        <w:rPr>
          <w:rFonts w:ascii="Times New Roman" w:hAnsi="Times New Roman" w:cs="Times New Roman"/>
        </w:rPr>
        <w:lastRenderedPageBreak/>
        <w:t xml:space="preserve">avoidance schemes, but after addressing other confounders, </w:t>
      </w:r>
      <w:proofErr w:type="spellStart"/>
      <w:r w:rsidR="00E12CA5" w:rsidRPr="00586237">
        <w:rPr>
          <w:rFonts w:ascii="Times New Roman" w:hAnsi="Times New Roman" w:cs="Times New Roman"/>
        </w:rPr>
        <w:t>Zuchman</w:t>
      </w:r>
      <w:proofErr w:type="spellEnd"/>
      <w:r w:rsidR="00E12CA5" w:rsidRPr="00586237">
        <w:rPr>
          <w:rFonts w:ascii="Times New Roman" w:hAnsi="Times New Roman" w:cs="Times New Roman"/>
        </w:rPr>
        <w:t xml:space="preserve"> concludes that such tactics have provided firms with the equivalent of a 6 to 8% tax cut.</w:t>
      </w:r>
    </w:p>
    <w:p w14:paraId="2119C6C5" w14:textId="77777777" w:rsidR="0096664A" w:rsidRPr="00586237" w:rsidRDefault="0096664A" w:rsidP="00E12CA5">
      <w:pPr>
        <w:autoSpaceDE w:val="0"/>
        <w:autoSpaceDN w:val="0"/>
        <w:adjustRightInd w:val="0"/>
        <w:spacing w:after="0" w:line="240" w:lineRule="auto"/>
        <w:rPr>
          <w:rFonts w:ascii="Times New Roman" w:hAnsi="Times New Roman" w:cs="Times New Roman"/>
        </w:rPr>
      </w:pPr>
    </w:p>
    <w:p w14:paraId="74EB46CF" w14:textId="77777777" w:rsidR="0096664A" w:rsidRPr="00586237" w:rsidRDefault="0096664A" w:rsidP="0096664A">
      <w:pPr>
        <w:autoSpaceDE w:val="0"/>
        <w:autoSpaceDN w:val="0"/>
        <w:adjustRightInd w:val="0"/>
        <w:spacing w:after="0" w:line="240" w:lineRule="auto"/>
        <w:rPr>
          <w:rFonts w:ascii="Times New Roman" w:hAnsi="Times New Roman" w:cs="Times New Roman"/>
        </w:rPr>
      </w:pPr>
      <w:r w:rsidRPr="00586237">
        <w:rPr>
          <w:rFonts w:ascii="Times New Roman" w:hAnsi="Times New Roman" w:cs="Times New Roman"/>
        </w:rPr>
        <w:t>These analyses actually underestimate the effect on the world’s poorest countries.  The figure of 31% of FDI originating from tax havens, includes developed countries, and does not include money routed through tax havens that originated in other countries.  Taking these into account, we would find that 46% (nearly half) of global FDI is channeled through tax havens with the share increasing about 5% annually (</w:t>
      </w:r>
      <w:proofErr w:type="spellStart"/>
      <w:r w:rsidRPr="00586237">
        <w:rPr>
          <w:rFonts w:ascii="Times New Roman" w:hAnsi="Times New Roman" w:cs="Times New Roman"/>
        </w:rPr>
        <w:t>ActionAid</w:t>
      </w:r>
      <w:proofErr w:type="spellEnd"/>
      <w:r w:rsidRPr="00586237">
        <w:rPr>
          <w:rFonts w:ascii="Times New Roman" w:hAnsi="Times New Roman" w:cs="Times New Roman"/>
        </w:rPr>
        <w:t xml:space="preserve"> 2013).</w:t>
      </w:r>
    </w:p>
    <w:p w14:paraId="01086BD7" w14:textId="77777777" w:rsidR="0096664A" w:rsidRPr="00586237" w:rsidRDefault="0096664A" w:rsidP="0096664A">
      <w:pPr>
        <w:autoSpaceDE w:val="0"/>
        <w:autoSpaceDN w:val="0"/>
        <w:adjustRightInd w:val="0"/>
        <w:spacing w:after="0" w:line="240" w:lineRule="auto"/>
        <w:rPr>
          <w:rFonts w:ascii="Times New Roman" w:hAnsi="Times New Roman" w:cs="Times New Roman"/>
        </w:rPr>
      </w:pPr>
    </w:p>
    <w:p w14:paraId="3B1DB54D" w14:textId="77777777" w:rsidR="0096664A" w:rsidRPr="00586237" w:rsidRDefault="00E12CA5" w:rsidP="0096664A">
      <w:pPr>
        <w:autoSpaceDE w:val="0"/>
        <w:autoSpaceDN w:val="0"/>
        <w:adjustRightInd w:val="0"/>
        <w:spacing w:after="0" w:line="240" w:lineRule="auto"/>
        <w:rPr>
          <w:rFonts w:ascii="Times New Roman" w:hAnsi="Times New Roman" w:cs="Times New Roman"/>
        </w:rPr>
      </w:pPr>
      <w:r w:rsidRPr="00586237">
        <w:rPr>
          <w:rFonts w:ascii="Times New Roman" w:hAnsi="Times New Roman" w:cs="Times New Roman"/>
        </w:rPr>
        <w:t>The scheme</w:t>
      </w:r>
      <w:r w:rsidR="00EB258E" w:rsidRPr="00586237">
        <w:rPr>
          <w:rFonts w:ascii="Times New Roman" w:hAnsi="Times New Roman" w:cs="Times New Roman"/>
        </w:rPr>
        <w:t xml:space="preserve">s have become so </w:t>
      </w:r>
      <w:r w:rsidR="00EB258E" w:rsidRPr="00104A35">
        <w:rPr>
          <w:rFonts w:ascii="Times New Roman" w:hAnsi="Times New Roman" w:cs="Times New Roman"/>
        </w:rPr>
        <w:t>effective that the handcuff the</w:t>
      </w:r>
      <w:r w:rsidR="0076361C" w:rsidRPr="00104A35">
        <w:rPr>
          <w:rFonts w:ascii="Times New Roman" w:hAnsi="Times New Roman" w:cs="Times New Roman"/>
        </w:rPr>
        <w:t>y</w:t>
      </w:r>
      <w:r w:rsidR="00EB258E" w:rsidRPr="00104A35">
        <w:rPr>
          <w:rFonts w:ascii="Times New Roman" w:hAnsi="Times New Roman" w:cs="Times New Roman"/>
        </w:rPr>
        <w:t xml:space="preserve"> tax policies of developing countries, who try to obtain greater revenue.  </w:t>
      </w:r>
      <w:proofErr w:type="spellStart"/>
      <w:r w:rsidR="00EB258E" w:rsidRPr="00104A35">
        <w:rPr>
          <w:rFonts w:ascii="Times New Roman" w:hAnsi="Times New Roman" w:cs="Times New Roman"/>
        </w:rPr>
        <w:t>Bartelsman</w:t>
      </w:r>
      <w:proofErr w:type="spellEnd"/>
      <w:r w:rsidR="00EB258E" w:rsidRPr="00104A35">
        <w:rPr>
          <w:rFonts w:ascii="Times New Roman" w:hAnsi="Times New Roman" w:cs="Times New Roman"/>
        </w:rPr>
        <w:t xml:space="preserve"> </w:t>
      </w:r>
      <w:r w:rsidR="004C42C2" w:rsidRPr="00104A35">
        <w:rPr>
          <w:rFonts w:ascii="Times New Roman" w:hAnsi="Times New Roman" w:cs="Times New Roman"/>
        </w:rPr>
        <w:t xml:space="preserve">and </w:t>
      </w:r>
      <w:proofErr w:type="spellStart"/>
      <w:r w:rsidR="004C42C2" w:rsidRPr="00104A35">
        <w:rPr>
          <w:rFonts w:ascii="Times New Roman" w:hAnsi="Times New Roman" w:cs="Times New Roman"/>
        </w:rPr>
        <w:t>Beetsma</w:t>
      </w:r>
      <w:proofErr w:type="spellEnd"/>
      <w:r w:rsidR="004C42C2" w:rsidRPr="00104A35">
        <w:rPr>
          <w:rFonts w:ascii="Times New Roman" w:hAnsi="Times New Roman" w:cs="Times New Roman"/>
        </w:rPr>
        <w:t xml:space="preserve"> </w:t>
      </w:r>
      <w:r w:rsidR="00EB258E" w:rsidRPr="00104A35">
        <w:rPr>
          <w:rFonts w:ascii="Times New Roman" w:hAnsi="Times New Roman" w:cs="Times New Roman"/>
        </w:rPr>
        <w:t>2003 conclude that m</w:t>
      </w:r>
      <w:r w:rsidR="00F07802" w:rsidRPr="00104A35">
        <w:rPr>
          <w:rFonts w:ascii="Times New Roman" w:hAnsi="Times New Roman" w:cs="Times New Roman"/>
        </w:rPr>
        <w:t xml:space="preserve">ore than 65% of the additional revenue resulting from a unilateral tax increase is </w:t>
      </w:r>
      <w:r w:rsidR="003B7FA1" w:rsidRPr="00104A35">
        <w:rPr>
          <w:rFonts w:ascii="Times New Roman" w:hAnsi="Times New Roman" w:cs="Times New Roman"/>
        </w:rPr>
        <w:t xml:space="preserve">lost because of income shifting.  </w:t>
      </w:r>
      <w:r w:rsidR="00117236" w:rsidRPr="00104A35">
        <w:rPr>
          <w:rFonts w:ascii="Times New Roman" w:hAnsi="Times New Roman" w:cs="Times New Roman"/>
        </w:rPr>
        <w:t xml:space="preserve">The opposite is true as well; </w:t>
      </w:r>
      <w:r w:rsidR="0076361C" w:rsidRPr="00104A35">
        <w:rPr>
          <w:rFonts w:ascii="Times New Roman" w:hAnsi="Times New Roman" w:cs="Times New Roman"/>
        </w:rPr>
        <w:t>unilateral tax decreases will lead to retain</w:t>
      </w:r>
      <w:r w:rsidR="00117236" w:rsidRPr="00104A35">
        <w:rPr>
          <w:rFonts w:ascii="Times New Roman" w:hAnsi="Times New Roman" w:cs="Times New Roman"/>
        </w:rPr>
        <w:t>ed</w:t>
      </w:r>
      <w:r w:rsidR="0076361C" w:rsidRPr="00104A35">
        <w:rPr>
          <w:rFonts w:ascii="Times New Roman" w:hAnsi="Times New Roman" w:cs="Times New Roman"/>
        </w:rPr>
        <w:t xml:space="preserve"> revenue</w:t>
      </w:r>
      <w:r w:rsidR="0076361C" w:rsidRPr="00586237">
        <w:rPr>
          <w:rFonts w:ascii="Times New Roman" w:hAnsi="Times New Roman" w:cs="Times New Roman"/>
        </w:rPr>
        <w:t>. Pham (2014) uses a regression discontinuity design to show that MNCs in Vietnam which were eligible for a special reduction in CIT (from 25% to 17%) targeted at companies with less t</w:t>
      </w:r>
      <w:r w:rsidR="00117236" w:rsidRPr="00586237">
        <w:rPr>
          <w:rFonts w:ascii="Times New Roman" w:hAnsi="Times New Roman" w:cs="Times New Roman"/>
        </w:rPr>
        <w:t>han 300 employees as part of a fiscal</w:t>
      </w:r>
      <w:r w:rsidR="0076361C" w:rsidRPr="00586237">
        <w:rPr>
          <w:rFonts w:ascii="Times New Roman" w:hAnsi="Times New Roman" w:cs="Times New Roman"/>
        </w:rPr>
        <w:t xml:space="preserve"> stimulus.  Comparing the firms just above the cut-off to those below, Pham finds that eligible </w:t>
      </w:r>
      <w:r w:rsidR="004B50F0" w:rsidRPr="00586237">
        <w:rPr>
          <w:rFonts w:ascii="Times New Roman" w:hAnsi="Times New Roman" w:cs="Times New Roman"/>
        </w:rPr>
        <w:t xml:space="preserve">foreign </w:t>
      </w:r>
      <w:r w:rsidR="0076361C" w:rsidRPr="00586237">
        <w:rPr>
          <w:rFonts w:ascii="Times New Roman" w:hAnsi="Times New Roman" w:cs="Times New Roman"/>
        </w:rPr>
        <w:t>firms were 11% more likely to report positive profits, leading to a 20% increase in revenue collected by the Vietnamese government.  Strikingly, the change led to no change in investment behavior, hiring of</w:t>
      </w:r>
      <w:r w:rsidR="00104A35">
        <w:rPr>
          <w:rFonts w:ascii="Times New Roman" w:hAnsi="Times New Roman" w:cs="Times New Roman"/>
        </w:rPr>
        <w:t xml:space="preserve"> workers, or output.  Eligible firms</w:t>
      </w:r>
      <w:r w:rsidR="0076361C" w:rsidRPr="00586237">
        <w:rPr>
          <w:rFonts w:ascii="Times New Roman" w:hAnsi="Times New Roman" w:cs="Times New Roman"/>
        </w:rPr>
        <w:t xml:space="preserve"> simply decided to keep more money in Vietnam at the lower tax rate.</w:t>
      </w:r>
    </w:p>
    <w:p w14:paraId="7DC12C87" w14:textId="77777777" w:rsidR="0096664A" w:rsidRPr="00586237" w:rsidRDefault="0096664A" w:rsidP="0096664A">
      <w:pPr>
        <w:autoSpaceDE w:val="0"/>
        <w:autoSpaceDN w:val="0"/>
        <w:adjustRightInd w:val="0"/>
        <w:spacing w:after="0" w:line="240" w:lineRule="auto"/>
        <w:rPr>
          <w:rFonts w:ascii="Times New Roman" w:hAnsi="Times New Roman" w:cs="Times New Roman"/>
        </w:rPr>
      </w:pPr>
    </w:p>
    <w:p w14:paraId="76D62F60" w14:textId="77777777" w:rsidR="002D6C0D" w:rsidRPr="00586237" w:rsidRDefault="0096664A" w:rsidP="002D6C0D">
      <w:pPr>
        <w:autoSpaceDE w:val="0"/>
        <w:autoSpaceDN w:val="0"/>
        <w:adjustRightInd w:val="0"/>
        <w:spacing w:after="0" w:line="240" w:lineRule="auto"/>
        <w:rPr>
          <w:rFonts w:ascii="Times New Roman" w:hAnsi="Times New Roman" w:cs="Times New Roman"/>
        </w:rPr>
      </w:pPr>
      <w:r w:rsidRPr="00586237">
        <w:rPr>
          <w:rFonts w:ascii="Times New Roman" w:hAnsi="Times New Roman" w:cs="Times New Roman"/>
        </w:rPr>
        <w:t xml:space="preserve">Non-Government Organizations, who have been looking closely at the phenomena, have begun to raise activities about the impact of these activities on developing country finances.  In a report entitled, “How Tax Havens Plunder the Poor,” which included an introduction by Jeffrey Sachs, </w:t>
      </w:r>
      <w:proofErr w:type="spellStart"/>
      <w:r w:rsidRPr="00586237">
        <w:rPr>
          <w:rFonts w:ascii="Times New Roman" w:hAnsi="Times New Roman" w:cs="Times New Roman"/>
        </w:rPr>
        <w:t>ActionAid</w:t>
      </w:r>
      <w:proofErr w:type="spellEnd"/>
      <w:r w:rsidRPr="00586237">
        <w:rPr>
          <w:rFonts w:ascii="Times New Roman" w:hAnsi="Times New Roman" w:cs="Times New Roman"/>
        </w:rPr>
        <w:t xml:space="preserve"> cited that the next cost to developing countries was $120-160 billion in annual tax revenue, which they estimated was three times the size of the agricultural investment needed to eliminate global hunger and twelve times the amount needed to eradicate childhood malnutritio</w:t>
      </w:r>
      <w:r w:rsidR="002D6C0D" w:rsidRPr="00586237">
        <w:rPr>
          <w:rFonts w:ascii="Times New Roman" w:hAnsi="Times New Roman" w:cs="Times New Roman"/>
        </w:rPr>
        <w:t xml:space="preserve">n around the world (Action Aid </w:t>
      </w:r>
      <w:r w:rsidRPr="00586237">
        <w:rPr>
          <w:rFonts w:ascii="Times New Roman" w:hAnsi="Times New Roman" w:cs="Times New Roman"/>
        </w:rPr>
        <w:t>2013).</w:t>
      </w:r>
      <w:r w:rsidR="00104A35">
        <w:rPr>
          <w:rFonts w:ascii="Times New Roman" w:hAnsi="Times New Roman" w:cs="Times New Roman"/>
        </w:rPr>
        <w:t xml:space="preserve"> </w:t>
      </w:r>
      <w:r w:rsidR="002D6C0D" w:rsidRPr="00586237">
        <w:rPr>
          <w:rFonts w:ascii="Times New Roman" w:hAnsi="Times New Roman" w:cs="Times New Roman"/>
        </w:rPr>
        <w:t xml:space="preserve">While there is a hysterical tone to these types of reports, it is clear that the combination of transfer pricing and tax havens have put developing countries into quite a dilemma even if the figures are substantially overstated. </w:t>
      </w:r>
    </w:p>
    <w:p w14:paraId="11E46B4A" w14:textId="77777777" w:rsidR="002D6C0D" w:rsidRPr="00586237" w:rsidRDefault="002D6C0D" w:rsidP="00EB258E">
      <w:pPr>
        <w:autoSpaceDE w:val="0"/>
        <w:autoSpaceDN w:val="0"/>
        <w:adjustRightInd w:val="0"/>
        <w:spacing w:after="0" w:line="240" w:lineRule="auto"/>
        <w:rPr>
          <w:rFonts w:ascii="Times New Roman" w:hAnsi="Times New Roman" w:cs="Times New Roman"/>
          <w:b/>
        </w:rPr>
      </w:pPr>
    </w:p>
    <w:p w14:paraId="02F4C1A4" w14:textId="77777777" w:rsidR="002D6C0D" w:rsidRPr="00586237" w:rsidRDefault="002D6C0D" w:rsidP="002D6C0D">
      <w:pPr>
        <w:spacing w:line="240" w:lineRule="auto"/>
        <w:rPr>
          <w:rFonts w:ascii="Times New Roman" w:hAnsi="Times New Roman" w:cs="Times New Roman"/>
          <w:b/>
        </w:rPr>
      </w:pPr>
      <w:r w:rsidRPr="00586237">
        <w:rPr>
          <w:rFonts w:ascii="Times New Roman" w:hAnsi="Times New Roman" w:cs="Times New Roman"/>
          <w:b/>
        </w:rPr>
        <w:t xml:space="preserve">An Agenda for Future Research </w:t>
      </w:r>
    </w:p>
    <w:p w14:paraId="02B55632" w14:textId="77777777" w:rsidR="002D6C0D" w:rsidRPr="00586237" w:rsidRDefault="002D6C0D" w:rsidP="002D6C0D">
      <w:pPr>
        <w:spacing w:line="240" w:lineRule="auto"/>
        <w:rPr>
          <w:rFonts w:ascii="Times New Roman" w:hAnsi="Times New Roman" w:cs="Times New Roman"/>
        </w:rPr>
      </w:pPr>
      <w:r w:rsidRPr="00586237">
        <w:rPr>
          <w:rFonts w:ascii="Times New Roman" w:hAnsi="Times New Roman" w:cs="Times New Roman"/>
        </w:rPr>
        <w:t>In this article, I have sought to demonstrate th</w:t>
      </w:r>
      <w:r w:rsidR="00184F5D" w:rsidRPr="00586237">
        <w:rPr>
          <w:rFonts w:ascii="Times New Roman" w:hAnsi="Times New Roman" w:cs="Times New Roman"/>
        </w:rPr>
        <w:t>at transfer pricing is an</w:t>
      </w:r>
      <w:r w:rsidRPr="00586237">
        <w:rPr>
          <w:rFonts w:ascii="Times New Roman" w:hAnsi="Times New Roman" w:cs="Times New Roman"/>
        </w:rPr>
        <w:t xml:space="preserve"> important feature of the global economy that has not been adequately addressed by the IPE literature.  The scale phenomenon </w:t>
      </w:r>
      <w:r w:rsidR="00184F5D" w:rsidRPr="00586237">
        <w:rPr>
          <w:rFonts w:ascii="Times New Roman" w:hAnsi="Times New Roman" w:cs="Times New Roman"/>
        </w:rPr>
        <w:t>will continue to i</w:t>
      </w:r>
      <w:r w:rsidR="00104A35">
        <w:rPr>
          <w:rFonts w:ascii="Times New Roman" w:hAnsi="Times New Roman" w:cs="Times New Roman"/>
        </w:rPr>
        <w:t xml:space="preserve">ncrease, as the four </w:t>
      </w:r>
      <w:r w:rsidR="00184F5D" w:rsidRPr="00586237">
        <w:rPr>
          <w:rFonts w:ascii="Times New Roman" w:hAnsi="Times New Roman" w:cs="Times New Roman"/>
        </w:rPr>
        <w:t xml:space="preserve">forces that have driven propelled it show no signs of abating.   Better understanding transfer pricing is critical for both making sense of the puzzles that have bedeviled IPE research and rethinking some of the lessons we think we might have learned.  As I argued above, it is among the most compelling explanations for the lack of a correlation between foreign capital flows and poverty alleviation, despite the multifaceted theories in support of the relationship.   </w:t>
      </w:r>
    </w:p>
    <w:p w14:paraId="01B876B1" w14:textId="77777777" w:rsidR="00184F5D" w:rsidRPr="00586237" w:rsidRDefault="00233C7E" w:rsidP="002D6C0D">
      <w:pPr>
        <w:spacing w:line="240" w:lineRule="auto"/>
        <w:rPr>
          <w:rFonts w:ascii="Times New Roman" w:hAnsi="Times New Roman" w:cs="Times New Roman"/>
        </w:rPr>
      </w:pPr>
      <w:r w:rsidRPr="00586237">
        <w:rPr>
          <w:rFonts w:ascii="Times New Roman" w:hAnsi="Times New Roman" w:cs="Times New Roman"/>
        </w:rPr>
        <w:t>Given the paucity of</w:t>
      </w:r>
      <w:r w:rsidR="00104A35">
        <w:rPr>
          <w:rFonts w:ascii="Times New Roman" w:hAnsi="Times New Roman" w:cs="Times New Roman"/>
        </w:rPr>
        <w:t xml:space="preserve"> detailed IPE work, in</w:t>
      </w:r>
      <w:r w:rsidRPr="00586237">
        <w:rPr>
          <w:rFonts w:ascii="Times New Roman" w:hAnsi="Times New Roman" w:cs="Times New Roman"/>
        </w:rPr>
        <w:t xml:space="preserve"> lieu of a conclusio</w:t>
      </w:r>
      <w:r w:rsidR="000F6E88" w:rsidRPr="00586237">
        <w:rPr>
          <w:rFonts w:ascii="Times New Roman" w:hAnsi="Times New Roman" w:cs="Times New Roman"/>
        </w:rPr>
        <w:t xml:space="preserve">n, I offer an agenda for future research.  </w:t>
      </w:r>
    </w:p>
    <w:p w14:paraId="1CAE0318" w14:textId="77777777" w:rsidR="00233C7E" w:rsidRPr="00586237" w:rsidRDefault="00233C7E" w:rsidP="00EB258E">
      <w:pPr>
        <w:autoSpaceDE w:val="0"/>
        <w:autoSpaceDN w:val="0"/>
        <w:adjustRightInd w:val="0"/>
        <w:spacing w:after="0" w:line="240" w:lineRule="auto"/>
        <w:rPr>
          <w:rFonts w:ascii="Times New Roman" w:hAnsi="Times New Roman" w:cs="Times New Roman"/>
          <w:i/>
        </w:rPr>
      </w:pPr>
    </w:p>
    <w:p w14:paraId="5AB974AB" w14:textId="77777777" w:rsidR="000F6E88" w:rsidRPr="00586237" w:rsidRDefault="000F6E88" w:rsidP="000F6E88">
      <w:pPr>
        <w:spacing w:line="240" w:lineRule="auto"/>
        <w:rPr>
          <w:rFonts w:ascii="Times New Roman" w:hAnsi="Times New Roman" w:cs="Times New Roman"/>
          <w:i/>
        </w:rPr>
      </w:pPr>
      <w:r w:rsidRPr="00586237">
        <w:rPr>
          <w:rFonts w:ascii="Times New Roman" w:hAnsi="Times New Roman" w:cs="Times New Roman"/>
          <w:i/>
        </w:rPr>
        <w:t>Better Measurement</w:t>
      </w:r>
    </w:p>
    <w:p w14:paraId="17BDA9B0" w14:textId="77777777" w:rsidR="000F6E88" w:rsidRPr="00586237" w:rsidRDefault="000F6E88" w:rsidP="000F6E88">
      <w:pPr>
        <w:spacing w:line="240" w:lineRule="auto"/>
        <w:rPr>
          <w:rFonts w:ascii="Times New Roman" w:hAnsi="Times New Roman" w:cs="Times New Roman"/>
        </w:rPr>
      </w:pPr>
      <w:r w:rsidRPr="00586237">
        <w:rPr>
          <w:rFonts w:ascii="Times New Roman" w:hAnsi="Times New Roman" w:cs="Times New Roman"/>
        </w:rPr>
        <w:t xml:space="preserve">The first task for the IPE literature is to properly measure the scale of transfer pricing.  </w:t>
      </w:r>
      <w:proofErr w:type="spellStart"/>
      <w:r w:rsidRPr="00586237">
        <w:rPr>
          <w:rFonts w:ascii="Times New Roman" w:hAnsi="Times New Roman" w:cs="Times New Roman"/>
        </w:rPr>
        <w:t>Zucman’s</w:t>
      </w:r>
      <w:proofErr w:type="spellEnd"/>
      <w:r w:rsidRPr="00586237">
        <w:rPr>
          <w:rFonts w:ascii="Times New Roman" w:hAnsi="Times New Roman" w:cs="Times New Roman"/>
        </w:rPr>
        <w:t xml:space="preserve"> (2014) work with balance of payments data is excellent, but overlooks the share of transfer pricing that does not include tax havens.  It also does a better job of calculating the total revenue moved to tax havens than the amount foregone by developing country treasuries.</w:t>
      </w:r>
    </w:p>
    <w:p w14:paraId="622393C3" w14:textId="77777777" w:rsidR="004C42C2" w:rsidRDefault="000F6E88" w:rsidP="000F6E88">
      <w:pPr>
        <w:spacing w:line="240" w:lineRule="auto"/>
        <w:rPr>
          <w:rFonts w:ascii="Times New Roman" w:hAnsi="Times New Roman" w:cs="Times New Roman"/>
        </w:rPr>
      </w:pPr>
      <w:r w:rsidRPr="00586237">
        <w:rPr>
          <w:rFonts w:ascii="Times New Roman" w:hAnsi="Times New Roman" w:cs="Times New Roman"/>
        </w:rPr>
        <w:t>Accurately measuring the scale of transfer pricing is extremely difficult.  Methods exist for the reporting and auditing of transfer pricing on individual basis.</w:t>
      </w:r>
      <w:r w:rsidR="004C42C2" w:rsidRPr="00586237">
        <w:rPr>
          <w:rFonts w:ascii="Times New Roman" w:hAnsi="Times New Roman" w:cs="Times New Roman"/>
        </w:rPr>
        <w:t xml:space="preserve"> </w:t>
      </w:r>
      <w:r w:rsidRPr="00586237">
        <w:rPr>
          <w:rFonts w:ascii="Times New Roman" w:hAnsi="Times New Roman" w:cs="Times New Roman"/>
        </w:rPr>
        <w:t xml:space="preserve">To perform these techniques, however, precise and fine-grained access to firms’ financial accounts is needed.  In most cases, access is also needed to the </w:t>
      </w:r>
      <w:r w:rsidRPr="00586237">
        <w:rPr>
          <w:rFonts w:ascii="Times New Roman" w:hAnsi="Times New Roman" w:cs="Times New Roman"/>
        </w:rPr>
        <w:lastRenderedPageBreak/>
        <w:t xml:space="preserve">accounts of related parties, third-parties, and comparators, who have no reason to provide it to non-government researchers.  </w:t>
      </w:r>
    </w:p>
    <w:p w14:paraId="09E87CFB" w14:textId="77777777" w:rsidR="000F6E88" w:rsidRPr="00586237" w:rsidRDefault="000F6E88" w:rsidP="000F6E88">
      <w:pPr>
        <w:spacing w:line="240" w:lineRule="auto"/>
        <w:rPr>
          <w:rFonts w:ascii="Times New Roman" w:hAnsi="Times New Roman" w:cs="Times New Roman"/>
        </w:rPr>
      </w:pPr>
      <w:r w:rsidRPr="00586237">
        <w:rPr>
          <w:rFonts w:ascii="Times New Roman" w:hAnsi="Times New Roman" w:cs="Times New Roman"/>
        </w:rPr>
        <w:t xml:space="preserve">Even if such access were available on an individual level, it is impossible for large-n statistical analysis, where data on thousands of firms must be processed. Because answering honestly about transfer pricing may force respondents to reveal information to their competitors or place them in danger of reprisals from authorities, it is not clear that accurate information can be obtained by researchers. In many cases, respondents may choose not to answer or answer inaccurately, leading to biased conclusions by analysts.   </w:t>
      </w:r>
    </w:p>
    <w:p w14:paraId="370F5431" w14:textId="77777777" w:rsidR="000F6E88" w:rsidRPr="00586237" w:rsidRDefault="000F6E88" w:rsidP="000F6E88">
      <w:pPr>
        <w:spacing w:line="240" w:lineRule="auto"/>
        <w:rPr>
          <w:rFonts w:ascii="Times New Roman" w:hAnsi="Times New Roman" w:cs="Times New Roman"/>
        </w:rPr>
      </w:pPr>
      <w:r w:rsidRPr="00586237">
        <w:rPr>
          <w:rFonts w:ascii="Times New Roman" w:hAnsi="Times New Roman" w:cs="Times New Roman"/>
        </w:rPr>
        <w:t xml:space="preserve">Consequently, scholars have struggled to accurately measure the scale of transfer pricing globally.  Most evidence of income shifting has been obtained indirectly by looking at firm profitability and country-level measures of tax burden.  For instance, </w:t>
      </w:r>
      <w:proofErr w:type="spellStart"/>
      <w:r w:rsidRPr="00586237">
        <w:rPr>
          <w:rFonts w:ascii="Times New Roman" w:hAnsi="Times New Roman" w:cs="Times New Roman"/>
        </w:rPr>
        <w:t>Grubert</w:t>
      </w:r>
      <w:proofErr w:type="spellEnd"/>
      <w:r w:rsidRPr="00586237">
        <w:rPr>
          <w:rFonts w:ascii="Times New Roman" w:hAnsi="Times New Roman" w:cs="Times New Roman"/>
        </w:rPr>
        <w:t xml:space="preserve"> and </w:t>
      </w:r>
      <w:proofErr w:type="spellStart"/>
      <w:r w:rsidRPr="00586237">
        <w:rPr>
          <w:rFonts w:ascii="Times New Roman" w:hAnsi="Times New Roman" w:cs="Times New Roman"/>
        </w:rPr>
        <w:t>Mutti</w:t>
      </w:r>
      <w:proofErr w:type="spellEnd"/>
      <w:r w:rsidRPr="00586237">
        <w:rPr>
          <w:rFonts w:ascii="Times New Roman" w:hAnsi="Times New Roman" w:cs="Times New Roman"/>
        </w:rPr>
        <w:t xml:space="preserve"> (1991) and Hines and Rice (1994) use country-level data to identify a negative relationship between the reported profitability of the foreign affiliates of U.S. multinational firms and the corporate income tax rates of their host countries. Until recently almost all of the work was done on United States companies which had the most accurate data on MNCs.  Chang et al. (2011), however, recently studied the behavior of MNCs in China, finding that subsidiaries shifted profits to and from China depending on corporate tax rates and that the magnitudes of tax-motivated income shifting activities resulted from variation in the firms’ level of fixed asset investment, intangible assets (e.g. proprietary technology), and its debt ratio.</w:t>
      </w:r>
    </w:p>
    <w:p w14:paraId="621DBFAE" w14:textId="77777777" w:rsidR="000F6E88" w:rsidRPr="00586237" w:rsidRDefault="000F6E88" w:rsidP="000F6E88">
      <w:pPr>
        <w:spacing w:line="240" w:lineRule="auto"/>
        <w:rPr>
          <w:rFonts w:ascii="Times New Roman" w:hAnsi="Times New Roman" w:cs="Times New Roman"/>
        </w:rPr>
      </w:pPr>
      <w:r w:rsidRPr="00586237">
        <w:rPr>
          <w:rFonts w:ascii="Times New Roman" w:hAnsi="Times New Roman" w:cs="Times New Roman"/>
        </w:rPr>
        <w:t>There is much more work to do here.  Better measures of transfer pricing are necessary to understand how exactly the activity is affecting our understanding of international interactions.  For instance, there is high probability that our assessme</w:t>
      </w:r>
      <w:r w:rsidR="00104A35">
        <w:rPr>
          <w:rFonts w:ascii="Times New Roman" w:hAnsi="Times New Roman" w:cs="Times New Roman"/>
        </w:rPr>
        <w:t>nt of national welfare is</w:t>
      </w:r>
      <w:r w:rsidRPr="00586237">
        <w:rPr>
          <w:rFonts w:ascii="Times New Roman" w:hAnsi="Times New Roman" w:cs="Times New Roman"/>
        </w:rPr>
        <w:t xml:space="preserve"> inaccurate.  </w:t>
      </w:r>
      <w:r w:rsidR="003B7FA1">
        <w:rPr>
          <w:rFonts w:ascii="Times New Roman" w:hAnsi="Times New Roman" w:cs="Times New Roman"/>
        </w:rPr>
        <w:t xml:space="preserve">Are Singapore and Luxembourg </w:t>
      </w:r>
      <w:r w:rsidRPr="00586237">
        <w:rPr>
          <w:rFonts w:ascii="Times New Roman" w:hAnsi="Times New Roman" w:cs="Times New Roman"/>
        </w:rPr>
        <w:t xml:space="preserve">really </w:t>
      </w:r>
      <w:r w:rsidR="003B7FA1">
        <w:rPr>
          <w:rFonts w:ascii="Times New Roman" w:hAnsi="Times New Roman" w:cs="Times New Roman"/>
        </w:rPr>
        <w:t>among the richest countries</w:t>
      </w:r>
      <w:r w:rsidRPr="00586237">
        <w:rPr>
          <w:rFonts w:ascii="Times New Roman" w:hAnsi="Times New Roman" w:cs="Times New Roman"/>
        </w:rPr>
        <w:t xml:space="preserve"> in the world in term</w:t>
      </w:r>
      <w:r w:rsidR="003B7FA1">
        <w:rPr>
          <w:rFonts w:ascii="Times New Roman" w:hAnsi="Times New Roman" w:cs="Times New Roman"/>
        </w:rPr>
        <w:t xml:space="preserve">s of per capita GDP, or does their status as low CIT countries </w:t>
      </w:r>
      <w:r w:rsidRPr="00586237">
        <w:rPr>
          <w:rFonts w:ascii="Times New Roman" w:hAnsi="Times New Roman" w:cs="Times New Roman"/>
        </w:rPr>
        <w:t xml:space="preserve">simply mean that more income is reported there?  Closer to home, international measures of institutional quality are significantly and negatively correlated with CIT rates.  In the case of the </w:t>
      </w:r>
      <w:r w:rsidRPr="00586237">
        <w:rPr>
          <w:rFonts w:ascii="Times New Roman" w:hAnsi="Times New Roman" w:cs="Times New Roman"/>
          <w:i/>
        </w:rPr>
        <w:t>Economic Freedom Index</w:t>
      </w:r>
      <w:r w:rsidRPr="00586237">
        <w:rPr>
          <w:rFonts w:ascii="Times New Roman" w:hAnsi="Times New Roman" w:cs="Times New Roman"/>
        </w:rPr>
        <w:t>,</w:t>
      </w:r>
      <w:r w:rsidR="00573BDD" w:rsidRPr="00586237">
        <w:rPr>
          <w:rFonts w:ascii="Times New Roman" w:hAnsi="Times New Roman" w:cs="Times New Roman"/>
        </w:rPr>
        <w:t xml:space="preserve"> the</w:t>
      </w:r>
      <w:r w:rsidRPr="00586237">
        <w:rPr>
          <w:rFonts w:ascii="Times New Roman" w:hAnsi="Times New Roman" w:cs="Times New Roman"/>
        </w:rPr>
        <w:t xml:space="preserve"> </w:t>
      </w:r>
      <w:r w:rsidR="00912637" w:rsidRPr="00586237">
        <w:rPr>
          <w:rFonts w:ascii="Times New Roman" w:hAnsi="Times New Roman" w:cs="Times New Roman"/>
        </w:rPr>
        <w:t xml:space="preserve">tax </w:t>
      </w:r>
      <w:r w:rsidR="00573BDD" w:rsidRPr="00586237">
        <w:rPr>
          <w:rFonts w:ascii="Times New Roman" w:hAnsi="Times New Roman" w:cs="Times New Roman"/>
        </w:rPr>
        <w:t>rate</w:t>
      </w:r>
      <w:r w:rsidR="00912637" w:rsidRPr="00586237">
        <w:rPr>
          <w:rFonts w:ascii="Times New Roman" w:hAnsi="Times New Roman" w:cs="Times New Roman"/>
        </w:rPr>
        <w:t xml:space="preserve"> (labeled “fiscal freedom”)</w:t>
      </w:r>
      <w:r w:rsidRPr="00586237">
        <w:rPr>
          <w:rFonts w:ascii="Times New Roman" w:hAnsi="Times New Roman" w:cs="Times New Roman"/>
        </w:rPr>
        <w:t xml:space="preserve"> is actually one of the sub-indices</w:t>
      </w:r>
      <w:r w:rsidR="00573BDD" w:rsidRPr="00586237">
        <w:rPr>
          <w:rFonts w:ascii="Times New Roman" w:hAnsi="Times New Roman" w:cs="Times New Roman"/>
        </w:rPr>
        <w:t xml:space="preserve"> (Heritage Foundation 2013)</w:t>
      </w:r>
      <w:r w:rsidRPr="00586237">
        <w:rPr>
          <w:rFonts w:ascii="Times New Roman" w:hAnsi="Times New Roman" w:cs="Times New Roman"/>
        </w:rPr>
        <w:t>.  Thus, when we observe a correlation between institutions and GDP flow, how much of the relationship is actually a function of tax policy versus the strength of property rights and contracting institutions that we generally attri</w:t>
      </w:r>
      <w:r w:rsidR="003B7FA1">
        <w:rPr>
          <w:rFonts w:ascii="Times New Roman" w:hAnsi="Times New Roman" w:cs="Times New Roman"/>
        </w:rPr>
        <w:t>bute to the measure?</w:t>
      </w:r>
    </w:p>
    <w:p w14:paraId="2A4F54EC" w14:textId="77777777" w:rsidR="000F6E88" w:rsidRPr="00586237" w:rsidRDefault="000F6E88" w:rsidP="00EB258E">
      <w:pPr>
        <w:autoSpaceDE w:val="0"/>
        <w:autoSpaceDN w:val="0"/>
        <w:adjustRightInd w:val="0"/>
        <w:spacing w:after="0" w:line="240" w:lineRule="auto"/>
        <w:rPr>
          <w:rFonts w:ascii="Times New Roman" w:hAnsi="Times New Roman" w:cs="Times New Roman"/>
          <w:i/>
        </w:rPr>
      </w:pPr>
    </w:p>
    <w:p w14:paraId="4079ABFD" w14:textId="77777777" w:rsidR="001D7369" w:rsidRPr="00586237" w:rsidRDefault="002D6C0D" w:rsidP="00EB258E">
      <w:pPr>
        <w:autoSpaceDE w:val="0"/>
        <w:autoSpaceDN w:val="0"/>
        <w:adjustRightInd w:val="0"/>
        <w:spacing w:after="0" w:line="240" w:lineRule="auto"/>
        <w:rPr>
          <w:rFonts w:ascii="Times New Roman" w:hAnsi="Times New Roman" w:cs="Times New Roman"/>
          <w:i/>
        </w:rPr>
      </w:pPr>
      <w:r w:rsidRPr="00586237">
        <w:rPr>
          <w:rFonts w:ascii="Times New Roman" w:hAnsi="Times New Roman" w:cs="Times New Roman"/>
          <w:i/>
        </w:rPr>
        <w:t xml:space="preserve">Testable </w:t>
      </w:r>
      <w:r w:rsidR="00DC5855" w:rsidRPr="00586237">
        <w:rPr>
          <w:rFonts w:ascii="Times New Roman" w:hAnsi="Times New Roman" w:cs="Times New Roman"/>
          <w:i/>
        </w:rPr>
        <w:t>Predictions</w:t>
      </w:r>
    </w:p>
    <w:p w14:paraId="16C7E2FA" w14:textId="77777777" w:rsidR="0096664A" w:rsidRPr="00586237" w:rsidRDefault="0096664A" w:rsidP="00EB258E">
      <w:pPr>
        <w:autoSpaceDE w:val="0"/>
        <w:autoSpaceDN w:val="0"/>
        <w:adjustRightInd w:val="0"/>
        <w:spacing w:after="0" w:line="240" w:lineRule="auto"/>
        <w:rPr>
          <w:rFonts w:ascii="Times New Roman" w:hAnsi="Times New Roman" w:cs="Times New Roman"/>
        </w:rPr>
      </w:pPr>
    </w:p>
    <w:p w14:paraId="0D5B510A" w14:textId="77777777" w:rsidR="004C42C2" w:rsidRDefault="00233C7E" w:rsidP="004C42C2">
      <w:pPr>
        <w:autoSpaceDE w:val="0"/>
        <w:autoSpaceDN w:val="0"/>
        <w:adjustRightInd w:val="0"/>
        <w:spacing w:after="0" w:line="240" w:lineRule="auto"/>
        <w:rPr>
          <w:rFonts w:ascii="Times New Roman" w:hAnsi="Times New Roman" w:cs="Times New Roman"/>
        </w:rPr>
      </w:pPr>
      <w:r w:rsidRPr="00586237">
        <w:rPr>
          <w:rFonts w:ascii="Times New Roman" w:hAnsi="Times New Roman" w:cs="Times New Roman"/>
        </w:rPr>
        <w:t>As Pham (2014) shows, unilateral tax de</w:t>
      </w:r>
      <w:r w:rsidR="0096664A" w:rsidRPr="00586237">
        <w:rPr>
          <w:rFonts w:ascii="Times New Roman" w:hAnsi="Times New Roman" w:cs="Times New Roman"/>
        </w:rPr>
        <w:t>creases will generate more revenue for developing country coffers, but at the cost of an unhealthy competition among developing countries that nobody can win.  This harkens back to the discussion of the “Race to the Bottom” literature</w:t>
      </w:r>
      <w:r w:rsidR="00A62812" w:rsidRPr="00586237">
        <w:rPr>
          <w:rFonts w:ascii="Times New Roman" w:hAnsi="Times New Roman" w:cs="Times New Roman"/>
        </w:rPr>
        <w:t xml:space="preserve"> (Mosely and Uno 2005)</w:t>
      </w:r>
      <w:r w:rsidR="0096664A" w:rsidRPr="00586237">
        <w:rPr>
          <w:rFonts w:ascii="Times New Roman" w:hAnsi="Times New Roman" w:cs="Times New Roman"/>
        </w:rPr>
        <w:t>, but the phenomenon is actually more severe.  In the race t</w:t>
      </w:r>
      <w:r w:rsidR="004C42C2">
        <w:rPr>
          <w:rFonts w:ascii="Times New Roman" w:hAnsi="Times New Roman" w:cs="Times New Roman"/>
        </w:rPr>
        <w:t>o the bottom, the notion was that</w:t>
      </w:r>
      <w:r w:rsidR="0096664A" w:rsidRPr="00586237">
        <w:rPr>
          <w:rFonts w:ascii="Times New Roman" w:hAnsi="Times New Roman" w:cs="Times New Roman"/>
        </w:rPr>
        <w:t xml:space="preserve"> MNCs </w:t>
      </w:r>
      <w:r w:rsidR="003B7FA1">
        <w:rPr>
          <w:rFonts w:ascii="Times New Roman" w:hAnsi="Times New Roman" w:cs="Times New Roman"/>
        </w:rPr>
        <w:t xml:space="preserve">darted </w:t>
      </w:r>
      <w:r w:rsidR="0096664A" w:rsidRPr="00586237">
        <w:rPr>
          <w:rFonts w:ascii="Times New Roman" w:hAnsi="Times New Roman" w:cs="Times New Roman"/>
        </w:rPr>
        <w:t>around the world to find the lowest taxes and regulatory quality, setting up shop on the bottom rung.  In the case of transfer pricing, the location of production never changes, only the location wh</w:t>
      </w:r>
      <w:r w:rsidRPr="00586237">
        <w:rPr>
          <w:rFonts w:ascii="Times New Roman" w:hAnsi="Times New Roman" w:cs="Times New Roman"/>
        </w:rPr>
        <w:t xml:space="preserve">ere the profits are reported. </w:t>
      </w:r>
      <w:r w:rsidR="0096664A" w:rsidRPr="00586237">
        <w:rPr>
          <w:rFonts w:ascii="Times New Roman" w:hAnsi="Times New Roman" w:cs="Times New Roman"/>
        </w:rPr>
        <w:t>Thus, developing countries still face the same externalities caused by hosting MNCs, but will receive less and</w:t>
      </w:r>
      <w:r w:rsidR="00DC5855" w:rsidRPr="00586237">
        <w:rPr>
          <w:rFonts w:ascii="Times New Roman" w:hAnsi="Times New Roman" w:cs="Times New Roman"/>
        </w:rPr>
        <w:t xml:space="preserve"> less revenue to offset the environmental and regulatory impact</w:t>
      </w:r>
      <w:r w:rsidR="0096664A" w:rsidRPr="00586237">
        <w:rPr>
          <w:rFonts w:ascii="Times New Roman" w:hAnsi="Times New Roman" w:cs="Times New Roman"/>
        </w:rPr>
        <w:t xml:space="preserve"> because of an unwinnable competition with tax havens.</w:t>
      </w:r>
      <w:r w:rsidR="00497B48" w:rsidRPr="00586237">
        <w:rPr>
          <w:rFonts w:ascii="Times New Roman" w:hAnsi="Times New Roman" w:cs="Times New Roman"/>
        </w:rPr>
        <w:t xml:space="preserve"> </w:t>
      </w:r>
      <w:r w:rsidR="00DC5855" w:rsidRPr="00586237">
        <w:rPr>
          <w:rFonts w:ascii="Times New Roman" w:hAnsi="Times New Roman" w:cs="Times New Roman"/>
        </w:rPr>
        <w:t>Even the very act of monitoring tax compliance by MNCs is costly. Audits may help introduce greater transparency and trust into this issue, but they are often quite burdensome for developin</w:t>
      </w:r>
      <w:r w:rsidR="004B50F0" w:rsidRPr="00586237">
        <w:rPr>
          <w:rFonts w:ascii="Times New Roman" w:hAnsi="Times New Roman" w:cs="Times New Roman"/>
        </w:rPr>
        <w:t>g</w:t>
      </w:r>
      <w:r w:rsidR="00DC5855" w:rsidRPr="00586237">
        <w:rPr>
          <w:rFonts w:ascii="Times New Roman" w:hAnsi="Times New Roman" w:cs="Times New Roman"/>
        </w:rPr>
        <w:t xml:space="preserve"> count</w:t>
      </w:r>
      <w:r w:rsidR="004B50F0" w:rsidRPr="00586237">
        <w:rPr>
          <w:rFonts w:ascii="Times New Roman" w:hAnsi="Times New Roman" w:cs="Times New Roman"/>
        </w:rPr>
        <w:t>ry</w:t>
      </w:r>
      <w:r w:rsidR="00DC5855" w:rsidRPr="00586237">
        <w:rPr>
          <w:rFonts w:ascii="Times New Roman" w:hAnsi="Times New Roman" w:cs="Times New Roman"/>
        </w:rPr>
        <w:t xml:space="preserve"> tax authori</w:t>
      </w:r>
      <w:r w:rsidR="004B50F0" w:rsidRPr="00586237">
        <w:rPr>
          <w:rFonts w:ascii="Times New Roman" w:hAnsi="Times New Roman" w:cs="Times New Roman"/>
        </w:rPr>
        <w:t>ties and a civil service that are</w:t>
      </w:r>
      <w:r w:rsidR="00DC5855" w:rsidRPr="00586237">
        <w:rPr>
          <w:rFonts w:ascii="Times New Roman" w:hAnsi="Times New Roman" w:cs="Times New Roman"/>
        </w:rPr>
        <w:t xml:space="preserve"> already stretched to their limits of their capacity</w:t>
      </w:r>
      <w:r w:rsidR="00104A35">
        <w:rPr>
          <w:rFonts w:ascii="Times New Roman" w:hAnsi="Times New Roman" w:cs="Times New Roman"/>
        </w:rPr>
        <w:t>.</w:t>
      </w:r>
    </w:p>
    <w:p w14:paraId="0340934D" w14:textId="77777777" w:rsidR="00104A35" w:rsidRPr="00586237" w:rsidRDefault="00104A35" w:rsidP="004C42C2">
      <w:pPr>
        <w:autoSpaceDE w:val="0"/>
        <w:autoSpaceDN w:val="0"/>
        <w:adjustRightInd w:val="0"/>
        <w:spacing w:after="0" w:line="240" w:lineRule="auto"/>
        <w:rPr>
          <w:rFonts w:ascii="Times New Roman" w:hAnsi="Times New Roman" w:cs="Times New Roman"/>
        </w:rPr>
      </w:pPr>
    </w:p>
    <w:p w14:paraId="5F5F99F5" w14:textId="77777777" w:rsidR="00992A0B" w:rsidRPr="00586237" w:rsidRDefault="00DC5855" w:rsidP="00992A0B">
      <w:pPr>
        <w:spacing w:line="240" w:lineRule="auto"/>
        <w:rPr>
          <w:rFonts w:ascii="Times New Roman" w:hAnsi="Times New Roman" w:cs="Times New Roman"/>
        </w:rPr>
      </w:pPr>
      <w:r w:rsidRPr="00586237">
        <w:rPr>
          <w:rFonts w:ascii="Times New Roman" w:hAnsi="Times New Roman" w:cs="Times New Roman"/>
        </w:rPr>
        <w:t>The situation is untenable for developin</w:t>
      </w:r>
      <w:r w:rsidR="00992A0B" w:rsidRPr="00586237">
        <w:rPr>
          <w:rFonts w:ascii="Times New Roman" w:hAnsi="Times New Roman" w:cs="Times New Roman"/>
        </w:rPr>
        <w:t>g countries, which leads to two political economy predictions: the first is a classic prediction about international institutions to resolve global collective actions problems, and the second is a domestic political story.</w:t>
      </w:r>
    </w:p>
    <w:p w14:paraId="71A2338E" w14:textId="77777777" w:rsidR="00911F36" w:rsidRPr="00586237" w:rsidRDefault="00DC5855" w:rsidP="0096664A">
      <w:pPr>
        <w:autoSpaceDE w:val="0"/>
        <w:autoSpaceDN w:val="0"/>
        <w:adjustRightInd w:val="0"/>
        <w:spacing w:after="0" w:line="240" w:lineRule="auto"/>
        <w:rPr>
          <w:rFonts w:ascii="Times New Roman" w:hAnsi="Times New Roman" w:cs="Times New Roman"/>
        </w:rPr>
      </w:pPr>
      <w:r w:rsidRPr="00586237">
        <w:rPr>
          <w:rFonts w:ascii="Times New Roman" w:hAnsi="Times New Roman" w:cs="Times New Roman"/>
        </w:rPr>
        <w:lastRenderedPageBreak/>
        <w:t>Ultimately, transfer pricing will require the emergence of an in</w:t>
      </w:r>
      <w:r w:rsidR="004C42C2">
        <w:rPr>
          <w:rFonts w:ascii="Times New Roman" w:hAnsi="Times New Roman" w:cs="Times New Roman"/>
        </w:rPr>
        <w:t>ternational institution, a</w:t>
      </w:r>
      <w:r w:rsidR="003B7FA1">
        <w:rPr>
          <w:rFonts w:ascii="Times New Roman" w:hAnsi="Times New Roman" w:cs="Times New Roman"/>
        </w:rPr>
        <w:t xml:space="preserve"> global</w:t>
      </w:r>
      <w:r w:rsidRPr="00586237">
        <w:rPr>
          <w:rFonts w:ascii="Times New Roman" w:hAnsi="Times New Roman" w:cs="Times New Roman"/>
        </w:rPr>
        <w:t xml:space="preserve"> agreement that </w:t>
      </w:r>
      <w:r w:rsidR="00911F36" w:rsidRPr="00586237">
        <w:rPr>
          <w:rFonts w:ascii="Times New Roman" w:hAnsi="Times New Roman" w:cs="Times New Roman"/>
        </w:rPr>
        <w:t>guards against the race to</w:t>
      </w:r>
      <w:r w:rsidR="00992A0B" w:rsidRPr="00586237">
        <w:rPr>
          <w:rFonts w:ascii="Times New Roman" w:hAnsi="Times New Roman" w:cs="Times New Roman"/>
        </w:rPr>
        <w:t xml:space="preserve"> the bottom by standardizing </w:t>
      </w:r>
      <w:r w:rsidR="00911F36" w:rsidRPr="00586237">
        <w:rPr>
          <w:rFonts w:ascii="Times New Roman" w:hAnsi="Times New Roman" w:cs="Times New Roman"/>
        </w:rPr>
        <w:t xml:space="preserve">treatment of MNCs by developing countries.  </w:t>
      </w:r>
      <w:r w:rsidR="00104A35">
        <w:rPr>
          <w:rFonts w:ascii="Times New Roman" w:hAnsi="Times New Roman" w:cs="Times New Roman"/>
        </w:rPr>
        <w:t xml:space="preserve">Along these </w:t>
      </w:r>
      <w:proofErr w:type="gramStart"/>
      <w:r w:rsidR="00104A35">
        <w:rPr>
          <w:rFonts w:ascii="Times New Roman" w:hAnsi="Times New Roman" w:cs="Times New Roman"/>
        </w:rPr>
        <w:t xml:space="preserve">lines </w:t>
      </w:r>
      <w:r w:rsidR="00911F36" w:rsidRPr="00586237">
        <w:rPr>
          <w:rFonts w:ascii="Times New Roman" w:hAnsi="Times New Roman" w:cs="Times New Roman"/>
        </w:rPr>
        <w:t>,</w:t>
      </w:r>
      <w:proofErr w:type="gramEnd"/>
      <w:r w:rsidR="00911F36" w:rsidRPr="00586237">
        <w:rPr>
          <w:rFonts w:ascii="Times New Roman" w:hAnsi="Times New Roman" w:cs="Times New Roman"/>
        </w:rPr>
        <w:t xml:space="preserve"> </w:t>
      </w:r>
      <w:proofErr w:type="spellStart"/>
      <w:r w:rsidR="00911F36" w:rsidRPr="00586237">
        <w:rPr>
          <w:rFonts w:ascii="Times New Roman" w:hAnsi="Times New Roman" w:cs="Times New Roman"/>
        </w:rPr>
        <w:t>Zucman</w:t>
      </w:r>
      <w:proofErr w:type="spellEnd"/>
      <w:r w:rsidR="00911F36" w:rsidRPr="00586237">
        <w:rPr>
          <w:rFonts w:ascii="Times New Roman" w:hAnsi="Times New Roman" w:cs="Times New Roman"/>
        </w:rPr>
        <w:t xml:space="preserve"> suggests an international financial registry where governments could compare how the actual distribution of </w:t>
      </w:r>
      <w:r w:rsidR="00992A0B" w:rsidRPr="00586237">
        <w:rPr>
          <w:rFonts w:ascii="Times New Roman" w:hAnsi="Times New Roman" w:cs="Times New Roman"/>
        </w:rPr>
        <w:t>revenue around the world to the scale of global production.  Grander solutions are also possible, such as the abandonment of arm’s length pricing in favor of estimates based on the actual activity taking place in an economy, or Advanced Pricing Arrangements (APAs) where countries negotiate estimated profitability with MNCs, taxing them on the estimates rather than trying to scour for arm’s length pricing equivalents.  Getting to an international agreement will be hard, but it seems the best way to resolve the current global collective action problem.</w:t>
      </w:r>
      <w:r w:rsidR="004B50F0" w:rsidRPr="00586237">
        <w:rPr>
          <w:rFonts w:ascii="Times New Roman" w:hAnsi="Times New Roman" w:cs="Times New Roman"/>
        </w:rPr>
        <w:t xml:space="preserve">  </w:t>
      </w:r>
    </w:p>
    <w:p w14:paraId="76A0C079" w14:textId="77777777" w:rsidR="00DC5855" w:rsidRPr="00586237" w:rsidRDefault="00DC5855" w:rsidP="0096664A">
      <w:pPr>
        <w:autoSpaceDE w:val="0"/>
        <w:autoSpaceDN w:val="0"/>
        <w:adjustRightInd w:val="0"/>
        <w:spacing w:after="0" w:line="240" w:lineRule="auto"/>
        <w:rPr>
          <w:rFonts w:ascii="Times New Roman" w:hAnsi="Times New Roman" w:cs="Times New Roman"/>
        </w:rPr>
      </w:pPr>
    </w:p>
    <w:p w14:paraId="1004E5C2" w14:textId="77777777" w:rsidR="004B50F0" w:rsidRPr="00586237" w:rsidRDefault="00233C7E" w:rsidP="00EB258E">
      <w:pPr>
        <w:autoSpaceDE w:val="0"/>
        <w:autoSpaceDN w:val="0"/>
        <w:adjustRightInd w:val="0"/>
        <w:spacing w:after="0" w:line="240" w:lineRule="auto"/>
        <w:rPr>
          <w:rFonts w:ascii="Times New Roman" w:hAnsi="Times New Roman" w:cs="Times New Roman"/>
        </w:rPr>
      </w:pPr>
      <w:r w:rsidRPr="00586237">
        <w:rPr>
          <w:rFonts w:ascii="Times New Roman" w:hAnsi="Times New Roman" w:cs="Times New Roman"/>
        </w:rPr>
        <w:t>Without</w:t>
      </w:r>
      <w:r w:rsidR="004B50F0" w:rsidRPr="00586237">
        <w:rPr>
          <w:rFonts w:ascii="Times New Roman" w:hAnsi="Times New Roman" w:cs="Times New Roman"/>
        </w:rPr>
        <w:t xml:space="preserve"> an</w:t>
      </w:r>
      <w:r w:rsidRPr="00586237">
        <w:rPr>
          <w:rFonts w:ascii="Times New Roman" w:hAnsi="Times New Roman" w:cs="Times New Roman"/>
        </w:rPr>
        <w:t xml:space="preserve"> international solution, developing countries will be forced to make up for the loss revenue elsewhere.</w:t>
      </w:r>
      <w:r w:rsidR="00992A0B" w:rsidRPr="00586237">
        <w:rPr>
          <w:rFonts w:ascii="Times New Roman" w:hAnsi="Times New Roman" w:cs="Times New Roman"/>
        </w:rPr>
        <w:t xml:space="preserve">  </w:t>
      </w:r>
      <w:r w:rsidRPr="00586237">
        <w:rPr>
          <w:rFonts w:ascii="Times New Roman" w:hAnsi="Times New Roman" w:cs="Times New Roman"/>
        </w:rPr>
        <w:t>Because most of these countries are cha</w:t>
      </w:r>
      <w:r w:rsidR="00455810">
        <w:rPr>
          <w:rFonts w:ascii="Times New Roman" w:hAnsi="Times New Roman" w:cs="Times New Roman"/>
        </w:rPr>
        <w:t xml:space="preserve">racterized by weak tax capacity </w:t>
      </w:r>
      <w:r w:rsidRPr="00586237">
        <w:rPr>
          <w:rFonts w:ascii="Times New Roman" w:hAnsi="Times New Roman" w:cs="Times New Roman"/>
        </w:rPr>
        <w:t>making collection of income taxes difficult</w:t>
      </w:r>
      <w:r w:rsidR="00455810">
        <w:rPr>
          <w:rFonts w:ascii="Times New Roman" w:hAnsi="Times New Roman" w:cs="Times New Roman"/>
        </w:rPr>
        <w:t xml:space="preserve"> (Moore 2004)</w:t>
      </w:r>
      <w:r w:rsidRPr="00586237">
        <w:rPr>
          <w:rFonts w:ascii="Times New Roman" w:hAnsi="Times New Roman" w:cs="Times New Roman"/>
        </w:rPr>
        <w:t>, we are likely to see countries enhance value added taxes (VAT) and other sales taxes, which can be</w:t>
      </w:r>
      <w:r w:rsidR="00902E6D" w:rsidRPr="00586237">
        <w:rPr>
          <w:rFonts w:ascii="Times New Roman" w:hAnsi="Times New Roman" w:cs="Times New Roman"/>
        </w:rPr>
        <w:t xml:space="preserve"> more easily</w:t>
      </w:r>
      <w:r w:rsidRPr="00586237">
        <w:rPr>
          <w:rFonts w:ascii="Times New Roman" w:hAnsi="Times New Roman" w:cs="Times New Roman"/>
        </w:rPr>
        <w:t xml:space="preserve"> collected at </w:t>
      </w:r>
      <w:r w:rsidR="00902E6D" w:rsidRPr="00586237">
        <w:rPr>
          <w:rFonts w:ascii="Times New Roman" w:hAnsi="Times New Roman" w:cs="Times New Roman"/>
        </w:rPr>
        <w:t xml:space="preserve">the </w:t>
      </w:r>
      <w:r w:rsidRPr="00586237">
        <w:rPr>
          <w:rFonts w:ascii="Times New Roman" w:hAnsi="Times New Roman" w:cs="Times New Roman"/>
        </w:rPr>
        <w:t>point of sale</w:t>
      </w:r>
      <w:r w:rsidR="00902E6D" w:rsidRPr="00586237">
        <w:rPr>
          <w:rFonts w:ascii="Times New Roman" w:hAnsi="Times New Roman" w:cs="Times New Roman"/>
        </w:rPr>
        <w:t xml:space="preserve">.  Consistent with this theory, Vietnam, after battling the MNCs on transfer pricing ultimately decided this year </w:t>
      </w:r>
      <w:r w:rsidR="00DC5855" w:rsidRPr="00586237">
        <w:rPr>
          <w:rFonts w:ascii="Times New Roman" w:hAnsi="Times New Roman" w:cs="Times New Roman"/>
        </w:rPr>
        <w:t>that it would lower the CIT for all companies to a rate more consistent with the regional average.  In its place, they have chosen to broaden the base of the VAT beyond registered companies to informal household firms (</w:t>
      </w:r>
      <w:r w:rsidR="00992A0B" w:rsidRPr="00586237">
        <w:rPr>
          <w:rFonts w:ascii="Times New Roman" w:hAnsi="Times New Roman" w:cs="Times New Roman"/>
        </w:rPr>
        <w:t xml:space="preserve">Le Thanh 2014).  In the coming years, </w:t>
      </w:r>
      <w:r w:rsidR="00455810">
        <w:rPr>
          <w:rFonts w:ascii="Times New Roman" w:hAnsi="Times New Roman" w:cs="Times New Roman"/>
        </w:rPr>
        <w:t xml:space="preserve">I predict that </w:t>
      </w:r>
      <w:r w:rsidR="00992A0B" w:rsidRPr="00586237">
        <w:rPr>
          <w:rFonts w:ascii="Times New Roman" w:hAnsi="Times New Roman" w:cs="Times New Roman"/>
        </w:rPr>
        <w:t xml:space="preserve">this switching of tax regimes </w:t>
      </w:r>
      <w:r w:rsidR="004C42C2">
        <w:rPr>
          <w:rFonts w:ascii="Times New Roman" w:hAnsi="Times New Roman" w:cs="Times New Roman"/>
        </w:rPr>
        <w:t xml:space="preserve">will become </w:t>
      </w:r>
      <w:r w:rsidR="000F6E88" w:rsidRPr="00586237">
        <w:rPr>
          <w:rFonts w:ascii="Times New Roman" w:hAnsi="Times New Roman" w:cs="Times New Roman"/>
        </w:rPr>
        <w:t>more common, as countries seek to make up lost revenue by turning to citizens and domestic firms</w:t>
      </w:r>
      <w:r w:rsidR="00455810">
        <w:rPr>
          <w:rFonts w:ascii="Times New Roman" w:hAnsi="Times New Roman" w:cs="Times New Roman"/>
        </w:rPr>
        <w:t>,</w:t>
      </w:r>
      <w:r w:rsidR="000F6E88" w:rsidRPr="00586237">
        <w:rPr>
          <w:rFonts w:ascii="Times New Roman" w:hAnsi="Times New Roman" w:cs="Times New Roman"/>
        </w:rPr>
        <w:t xml:space="preserve"> rather than trying to tax </w:t>
      </w:r>
      <w:r w:rsidR="00455810">
        <w:rPr>
          <w:rFonts w:ascii="Times New Roman" w:hAnsi="Times New Roman" w:cs="Times New Roman"/>
        </w:rPr>
        <w:t xml:space="preserve">globetrotting </w:t>
      </w:r>
      <w:r w:rsidR="000F6E88" w:rsidRPr="00586237">
        <w:rPr>
          <w:rFonts w:ascii="Times New Roman" w:hAnsi="Times New Roman" w:cs="Times New Roman"/>
        </w:rPr>
        <w:t xml:space="preserve">MNCs.  </w:t>
      </w:r>
    </w:p>
    <w:p w14:paraId="26EF0A6F" w14:textId="77777777" w:rsidR="004B50F0" w:rsidRPr="00586237" w:rsidRDefault="004B50F0" w:rsidP="00EB258E">
      <w:pPr>
        <w:autoSpaceDE w:val="0"/>
        <w:autoSpaceDN w:val="0"/>
        <w:adjustRightInd w:val="0"/>
        <w:spacing w:after="0" w:line="240" w:lineRule="auto"/>
        <w:rPr>
          <w:rFonts w:ascii="Times New Roman" w:hAnsi="Times New Roman" w:cs="Times New Roman"/>
        </w:rPr>
      </w:pPr>
    </w:p>
    <w:p w14:paraId="3B701EB0" w14:textId="77777777" w:rsidR="00EB258E" w:rsidRPr="00586237" w:rsidRDefault="000F6E88" w:rsidP="00EB258E">
      <w:pPr>
        <w:autoSpaceDE w:val="0"/>
        <w:autoSpaceDN w:val="0"/>
        <w:adjustRightInd w:val="0"/>
        <w:spacing w:after="0" w:line="240" w:lineRule="auto"/>
        <w:rPr>
          <w:rFonts w:ascii="Times New Roman" w:hAnsi="Times New Roman" w:cs="Times New Roman"/>
        </w:rPr>
      </w:pPr>
      <w:r w:rsidRPr="00586237">
        <w:rPr>
          <w:rFonts w:ascii="Times New Roman" w:hAnsi="Times New Roman" w:cs="Times New Roman"/>
        </w:rPr>
        <w:t>If the prediction is right,</w:t>
      </w:r>
      <w:r w:rsidR="004B50F0" w:rsidRPr="00586237">
        <w:rPr>
          <w:rFonts w:ascii="Times New Roman" w:hAnsi="Times New Roman" w:cs="Times New Roman"/>
        </w:rPr>
        <w:t xml:space="preserve"> and I believe empirical testing will find support,</w:t>
      </w:r>
      <w:r w:rsidRPr="00586237">
        <w:rPr>
          <w:rFonts w:ascii="Times New Roman" w:hAnsi="Times New Roman" w:cs="Times New Roman"/>
        </w:rPr>
        <w:t xml:space="preserve"> it will essentially imply a global transfer from the citizens and domestic firms of the developing world to the MNCs of the developed world.</w:t>
      </w:r>
      <w:r w:rsidR="00714965" w:rsidRPr="00586237">
        <w:rPr>
          <w:rFonts w:ascii="Times New Roman" w:hAnsi="Times New Roman" w:cs="Times New Roman"/>
        </w:rPr>
        <w:t xml:space="preserve">  In some cases, this transfer to wealthy MNCs will undermine the positive effects of investment flows.  In other cases, FDI may actually worsen individual level poverty by imposing externalities on states that are paid for by taxing the poorest.  Thus, in a few years, the puzzle may not be why there is no correlation between FDI and poverty, but why FDI actually exacerbates poverty.  Hopefully, future IPE scholarship will point the way out of this depressing fiscal trap.</w:t>
      </w:r>
    </w:p>
    <w:p w14:paraId="57562206" w14:textId="77777777" w:rsidR="00233C7E" w:rsidRPr="00586237" w:rsidRDefault="00233C7E" w:rsidP="00EB258E">
      <w:pPr>
        <w:autoSpaceDE w:val="0"/>
        <w:autoSpaceDN w:val="0"/>
        <w:adjustRightInd w:val="0"/>
        <w:spacing w:after="0" w:line="240" w:lineRule="auto"/>
        <w:rPr>
          <w:rFonts w:ascii="Times New Roman" w:hAnsi="Times New Roman" w:cs="Times New Roman"/>
        </w:rPr>
      </w:pPr>
    </w:p>
    <w:p w14:paraId="1E642316" w14:textId="77777777" w:rsidR="00233C7E" w:rsidRPr="00586237" w:rsidRDefault="00233C7E" w:rsidP="00EB258E">
      <w:pPr>
        <w:autoSpaceDE w:val="0"/>
        <w:autoSpaceDN w:val="0"/>
        <w:adjustRightInd w:val="0"/>
        <w:spacing w:after="0" w:line="240" w:lineRule="auto"/>
        <w:rPr>
          <w:rFonts w:ascii="Times New Roman" w:hAnsi="Times New Roman" w:cs="Times New Roman"/>
        </w:rPr>
      </w:pPr>
    </w:p>
    <w:p w14:paraId="02A2D3D8" w14:textId="77777777" w:rsidR="003973D7" w:rsidRPr="00586237" w:rsidRDefault="003973D7" w:rsidP="00C04DBE">
      <w:pPr>
        <w:spacing w:line="240" w:lineRule="auto"/>
        <w:rPr>
          <w:rFonts w:ascii="Times New Roman" w:hAnsi="Times New Roman" w:cs="Times New Roman"/>
          <w:b/>
        </w:rPr>
      </w:pPr>
    </w:p>
    <w:p w14:paraId="3BA5B892" w14:textId="77777777" w:rsidR="00455810" w:rsidRDefault="00455810">
      <w:pPr>
        <w:rPr>
          <w:rFonts w:ascii="Times New Roman" w:hAnsi="Times New Roman" w:cs="Times New Roman"/>
          <w:b/>
        </w:rPr>
      </w:pPr>
      <w:r>
        <w:rPr>
          <w:rFonts w:ascii="Times New Roman" w:hAnsi="Times New Roman" w:cs="Times New Roman"/>
          <w:b/>
        </w:rPr>
        <w:br w:type="page"/>
      </w:r>
    </w:p>
    <w:p w14:paraId="5FA68E3C" w14:textId="77777777" w:rsidR="00C04DBE" w:rsidRPr="00586237" w:rsidRDefault="00C04DBE" w:rsidP="00C04DBE">
      <w:pPr>
        <w:spacing w:line="240" w:lineRule="auto"/>
        <w:rPr>
          <w:rFonts w:ascii="Times New Roman" w:hAnsi="Times New Roman" w:cs="Times New Roman"/>
          <w:b/>
        </w:rPr>
      </w:pPr>
      <w:r w:rsidRPr="00586237">
        <w:rPr>
          <w:rFonts w:ascii="Times New Roman" w:hAnsi="Times New Roman" w:cs="Times New Roman"/>
          <w:b/>
        </w:rPr>
        <w:lastRenderedPageBreak/>
        <w:t>Works Cited:</w:t>
      </w:r>
    </w:p>
    <w:p w14:paraId="13AB726F" w14:textId="77777777" w:rsidR="00117236" w:rsidRDefault="00117236" w:rsidP="00117236">
      <w:pPr>
        <w:spacing w:after="0" w:line="240" w:lineRule="auto"/>
        <w:ind w:left="360" w:hanging="360"/>
        <w:rPr>
          <w:rFonts w:ascii="Times New Roman" w:hAnsi="Times New Roman" w:cs="Times New Roman"/>
        </w:rPr>
      </w:pPr>
      <w:proofErr w:type="spellStart"/>
      <w:r w:rsidRPr="00586237">
        <w:rPr>
          <w:rFonts w:ascii="Times New Roman" w:hAnsi="Times New Roman" w:cs="Times New Roman"/>
        </w:rPr>
        <w:t>ActionAid</w:t>
      </w:r>
      <w:proofErr w:type="spellEnd"/>
      <w:r w:rsidRPr="00586237">
        <w:rPr>
          <w:rFonts w:ascii="Times New Roman" w:hAnsi="Times New Roman" w:cs="Times New Roman"/>
        </w:rPr>
        <w:t xml:space="preserve">. 2013. </w:t>
      </w:r>
      <w:r w:rsidRPr="00586237">
        <w:rPr>
          <w:rFonts w:ascii="Times New Roman" w:hAnsi="Times New Roman" w:cs="Times New Roman"/>
          <w:i/>
        </w:rPr>
        <w:t>How Tax Havens Plunder the Poor</w:t>
      </w:r>
      <w:r w:rsidRPr="00586237">
        <w:rPr>
          <w:rFonts w:ascii="Times New Roman" w:hAnsi="Times New Roman" w:cs="Times New Roman"/>
        </w:rPr>
        <w:t xml:space="preserve">, London, </w:t>
      </w:r>
      <w:r w:rsidRPr="00586237">
        <w:rPr>
          <w:rFonts w:ascii="Times New Roman" w:hAnsi="Times New Roman" w:cs="Times New Roman"/>
          <w:i/>
        </w:rPr>
        <w:t>May</w:t>
      </w:r>
      <w:r w:rsidRPr="00586237">
        <w:rPr>
          <w:rFonts w:ascii="Times New Roman" w:hAnsi="Times New Roman" w:cs="Times New Roman"/>
        </w:rPr>
        <w:t xml:space="preserve">: 3. </w:t>
      </w:r>
      <w:hyperlink r:id="rId9" w:history="1">
        <w:r w:rsidR="004C42C2" w:rsidRPr="00A4006D">
          <w:rPr>
            <w:rStyle w:val="Hyperlink"/>
            <w:rFonts w:ascii="Times New Roman" w:hAnsi="Times New Roman" w:cs="Times New Roman"/>
          </w:rPr>
          <w:t>www.actionaid.org.uk</w:t>
        </w:r>
      </w:hyperlink>
    </w:p>
    <w:p w14:paraId="3351CF9C" w14:textId="77777777" w:rsidR="004C42C2" w:rsidRPr="00586237" w:rsidRDefault="004C42C2" w:rsidP="00117236">
      <w:pPr>
        <w:spacing w:after="0" w:line="240" w:lineRule="auto"/>
        <w:ind w:left="360" w:hanging="360"/>
        <w:rPr>
          <w:rFonts w:ascii="Times New Roman" w:hAnsi="Times New Roman" w:cs="Times New Roman"/>
          <w:i/>
        </w:rPr>
      </w:pPr>
      <w:proofErr w:type="spellStart"/>
      <w:r>
        <w:rPr>
          <w:rFonts w:ascii="Times New Roman" w:hAnsi="Times New Roman" w:cs="Times New Roman"/>
        </w:rPr>
        <w:t>Bartelsman</w:t>
      </w:r>
      <w:proofErr w:type="spellEnd"/>
      <w:r>
        <w:rPr>
          <w:rFonts w:ascii="Times New Roman" w:hAnsi="Times New Roman" w:cs="Times New Roman"/>
        </w:rPr>
        <w:t xml:space="preserve">, Eric J., &amp; </w:t>
      </w:r>
      <w:proofErr w:type="spellStart"/>
      <w:r>
        <w:rPr>
          <w:rFonts w:ascii="Times New Roman" w:hAnsi="Times New Roman" w:cs="Times New Roman"/>
        </w:rPr>
        <w:t>Beetsma</w:t>
      </w:r>
      <w:proofErr w:type="spellEnd"/>
      <w:r>
        <w:rPr>
          <w:rFonts w:ascii="Times New Roman" w:hAnsi="Times New Roman" w:cs="Times New Roman"/>
        </w:rPr>
        <w:t xml:space="preserve">, </w:t>
      </w:r>
      <w:proofErr w:type="spellStart"/>
      <w:r>
        <w:rPr>
          <w:rFonts w:ascii="Times New Roman" w:hAnsi="Times New Roman" w:cs="Times New Roman"/>
        </w:rPr>
        <w:t>Roel</w:t>
      </w:r>
      <w:proofErr w:type="spellEnd"/>
      <w:r>
        <w:rPr>
          <w:rFonts w:ascii="Times New Roman" w:hAnsi="Times New Roman" w:cs="Times New Roman"/>
        </w:rPr>
        <w:t>. M. 2003</w:t>
      </w:r>
      <w:r w:rsidRPr="004C42C2">
        <w:rPr>
          <w:rFonts w:ascii="Times New Roman" w:hAnsi="Times New Roman" w:cs="Times New Roman"/>
        </w:rPr>
        <w:t xml:space="preserve">. Why pay more? Corporate tax avoidance through </w:t>
      </w:r>
      <w:proofErr w:type="gramStart"/>
      <w:r w:rsidRPr="004C42C2">
        <w:rPr>
          <w:rFonts w:ascii="Times New Roman" w:hAnsi="Times New Roman" w:cs="Times New Roman"/>
        </w:rPr>
        <w:t>transfer</w:t>
      </w:r>
      <w:proofErr w:type="gramEnd"/>
      <w:r w:rsidRPr="004C42C2">
        <w:rPr>
          <w:rFonts w:ascii="Times New Roman" w:hAnsi="Times New Roman" w:cs="Times New Roman"/>
        </w:rPr>
        <w:t xml:space="preserve"> pricing in OECD countries. </w:t>
      </w:r>
      <w:proofErr w:type="gramStart"/>
      <w:r w:rsidRPr="004C42C2">
        <w:rPr>
          <w:rFonts w:ascii="Times New Roman" w:hAnsi="Times New Roman" w:cs="Times New Roman"/>
        </w:rPr>
        <w:t>Journal of Public Economics, 87(9), 2225-</w:t>
      </w:r>
      <w:r w:rsidRPr="004C42C2">
        <w:rPr>
          <w:rFonts w:ascii="Times New Roman" w:hAnsi="Times New Roman" w:cs="Times New Roman"/>
          <w:i/>
        </w:rPr>
        <w:t>2252.</w:t>
      </w:r>
      <w:proofErr w:type="gramEnd"/>
    </w:p>
    <w:p w14:paraId="649671DB" w14:textId="77777777" w:rsidR="00C04DBE" w:rsidRPr="00586237" w:rsidRDefault="00C04DBE" w:rsidP="00C04DBE">
      <w:pPr>
        <w:pStyle w:val="Default"/>
        <w:ind w:left="720" w:hanging="720"/>
        <w:rPr>
          <w:rFonts w:ascii="Times New Roman" w:hAnsi="Times New Roman" w:cs="Times New Roman"/>
          <w:sz w:val="22"/>
          <w:szCs w:val="22"/>
        </w:rPr>
      </w:pPr>
      <w:r w:rsidRPr="00586237">
        <w:rPr>
          <w:rFonts w:ascii="Times New Roman" w:eastAsia="SimSun" w:hAnsi="Times New Roman" w:cs="Times New Roman"/>
          <w:sz w:val="22"/>
          <w:szCs w:val="22"/>
        </w:rPr>
        <w:t xml:space="preserve">Chang, Sea-Jin, </w:t>
      </w:r>
      <w:proofErr w:type="spellStart"/>
      <w:r w:rsidRPr="00586237">
        <w:rPr>
          <w:rFonts w:ascii="Times New Roman" w:eastAsia="SimSun" w:hAnsi="Times New Roman" w:cs="Times New Roman"/>
          <w:sz w:val="22"/>
          <w:szCs w:val="22"/>
        </w:rPr>
        <w:t>Jaiho</w:t>
      </w:r>
      <w:proofErr w:type="spellEnd"/>
      <w:r w:rsidRPr="00586237">
        <w:rPr>
          <w:rFonts w:ascii="Times New Roman" w:eastAsia="SimSun" w:hAnsi="Times New Roman" w:cs="Times New Roman"/>
          <w:sz w:val="22"/>
          <w:szCs w:val="22"/>
        </w:rPr>
        <w:t xml:space="preserve"> Chung, and Jon Moon. 2010. “Do Multinational Firms Shift Profits Out of China? </w:t>
      </w:r>
      <w:proofErr w:type="gramStart"/>
      <w:r w:rsidRPr="00586237">
        <w:rPr>
          <w:rFonts w:ascii="Times New Roman" w:eastAsia="SimSun" w:hAnsi="Times New Roman" w:cs="Times New Roman"/>
          <w:sz w:val="22"/>
          <w:szCs w:val="22"/>
        </w:rPr>
        <w:t>Subsidiary-level Evidence” NUS Business School Working Paper.</w:t>
      </w:r>
      <w:proofErr w:type="gramEnd"/>
    </w:p>
    <w:p w14:paraId="7A9AC4C2" w14:textId="77777777" w:rsidR="00C04DBE" w:rsidRPr="00586237" w:rsidRDefault="00C04DBE" w:rsidP="00C04DBE">
      <w:pPr>
        <w:spacing w:line="240" w:lineRule="auto"/>
        <w:ind w:left="360" w:hanging="360"/>
        <w:contextualSpacing/>
        <w:rPr>
          <w:rFonts w:ascii="Times New Roman" w:eastAsia="SimSun" w:hAnsi="Times New Roman" w:cs="Times New Roman"/>
        </w:rPr>
      </w:pPr>
      <w:proofErr w:type="spellStart"/>
      <w:r w:rsidRPr="00586237">
        <w:rPr>
          <w:rFonts w:ascii="Times New Roman" w:eastAsia="SimSun" w:hAnsi="Times New Roman" w:cs="Times New Roman"/>
        </w:rPr>
        <w:t>Coase</w:t>
      </w:r>
      <w:proofErr w:type="spellEnd"/>
      <w:r w:rsidRPr="00586237">
        <w:rPr>
          <w:rFonts w:ascii="Times New Roman" w:eastAsia="SimSun" w:hAnsi="Times New Roman" w:cs="Times New Roman"/>
        </w:rPr>
        <w:t xml:space="preserve">, Ronald. 1937. “The nature of the firm.” </w:t>
      </w:r>
      <w:proofErr w:type="spellStart"/>
      <w:r w:rsidRPr="00586237">
        <w:rPr>
          <w:rFonts w:ascii="Times New Roman" w:eastAsia="SimSun" w:hAnsi="Times New Roman" w:cs="Times New Roman"/>
          <w:i/>
        </w:rPr>
        <w:t>Economica</w:t>
      </w:r>
      <w:proofErr w:type="spellEnd"/>
      <w:r w:rsidRPr="00586237">
        <w:rPr>
          <w:rFonts w:ascii="Times New Roman" w:eastAsia="SimSun" w:hAnsi="Times New Roman" w:cs="Times New Roman"/>
        </w:rPr>
        <w:t>, 4(16), 386-405.</w:t>
      </w:r>
    </w:p>
    <w:p w14:paraId="1E7B3D64" w14:textId="77777777" w:rsidR="00C04DBE" w:rsidRPr="00104A35" w:rsidRDefault="00C04DBE" w:rsidP="00C04DBE">
      <w:pPr>
        <w:spacing w:line="240" w:lineRule="auto"/>
        <w:ind w:left="360" w:hanging="360"/>
        <w:contextualSpacing/>
        <w:rPr>
          <w:rFonts w:ascii="Times New Roman" w:eastAsia="SimSun" w:hAnsi="Times New Roman" w:cs="Times New Roman"/>
        </w:rPr>
      </w:pPr>
      <w:proofErr w:type="spellStart"/>
      <w:r w:rsidRPr="00586237">
        <w:rPr>
          <w:rFonts w:ascii="Times New Roman" w:eastAsia="SimSun" w:hAnsi="Times New Roman" w:cs="Times New Roman"/>
        </w:rPr>
        <w:t>Dezan</w:t>
      </w:r>
      <w:proofErr w:type="spellEnd"/>
      <w:r w:rsidRPr="00586237">
        <w:rPr>
          <w:rFonts w:ascii="Times New Roman" w:eastAsia="SimSun" w:hAnsi="Times New Roman" w:cs="Times New Roman"/>
        </w:rPr>
        <w:t xml:space="preserve"> </w:t>
      </w:r>
      <w:proofErr w:type="spellStart"/>
      <w:r w:rsidRPr="00586237">
        <w:rPr>
          <w:rFonts w:ascii="Times New Roman" w:eastAsia="SimSun" w:hAnsi="Times New Roman" w:cs="Times New Roman"/>
        </w:rPr>
        <w:t>Shira</w:t>
      </w:r>
      <w:proofErr w:type="spellEnd"/>
      <w:r w:rsidRPr="00586237">
        <w:rPr>
          <w:rFonts w:ascii="Times New Roman" w:eastAsia="SimSun" w:hAnsi="Times New Roman" w:cs="Times New Roman"/>
        </w:rPr>
        <w:t xml:space="preserve">. 2013. “Vietnam Gov’t Issues New Transfer Pricing Circular.” </w:t>
      </w:r>
      <w:r w:rsidRPr="00586237">
        <w:rPr>
          <w:rFonts w:ascii="Times New Roman" w:eastAsia="SimSun" w:hAnsi="Times New Roman" w:cs="Times New Roman"/>
          <w:i/>
        </w:rPr>
        <w:t>Vietnam Briefing</w:t>
      </w:r>
      <w:r w:rsidRPr="00586237">
        <w:rPr>
          <w:rFonts w:ascii="Times New Roman" w:eastAsia="SimSun" w:hAnsi="Times New Roman" w:cs="Times New Roman"/>
        </w:rPr>
        <w:t>. September 5. &lt;</w:t>
      </w:r>
      <w:r w:rsidRPr="00586237">
        <w:rPr>
          <w:rFonts w:ascii="Times New Roman" w:hAnsi="Times New Roman" w:cs="Times New Roman"/>
        </w:rPr>
        <w:t xml:space="preserve"> </w:t>
      </w:r>
      <w:hyperlink r:id="rId10" w:history="1">
        <w:r w:rsidRPr="00104A35">
          <w:rPr>
            <w:rStyle w:val="Hyperlink"/>
            <w:rFonts w:ascii="Times New Roman" w:eastAsia="SimSun" w:hAnsi="Times New Roman" w:cs="Times New Roman"/>
          </w:rPr>
          <w:t>http://www.vietnam-briefing.com/news/vietnam-govt-issues-new-transfer-pricing-circular.html/</w:t>
        </w:r>
      </w:hyperlink>
      <w:r w:rsidRPr="00104A35">
        <w:rPr>
          <w:rFonts w:ascii="Times New Roman" w:eastAsia="SimSun" w:hAnsi="Times New Roman" w:cs="Times New Roman"/>
        </w:rPr>
        <w:t>&gt;</w:t>
      </w:r>
    </w:p>
    <w:p w14:paraId="78EEE2FE" w14:textId="77777777" w:rsidR="00C04DBE" w:rsidRPr="00104A35" w:rsidRDefault="00C04DBE" w:rsidP="00C04DBE">
      <w:pPr>
        <w:spacing w:line="240" w:lineRule="auto"/>
        <w:ind w:left="360" w:hanging="360"/>
        <w:contextualSpacing/>
        <w:rPr>
          <w:rFonts w:ascii="Times New Roman" w:eastAsia="SimSun" w:hAnsi="Times New Roman" w:cs="Times New Roman"/>
        </w:rPr>
      </w:pPr>
      <w:r w:rsidRPr="00104A35">
        <w:rPr>
          <w:rFonts w:ascii="Times New Roman" w:eastAsia="SimSun" w:hAnsi="Times New Roman" w:cs="Times New Roman"/>
          <w:i/>
        </w:rPr>
        <w:t>The Economist.</w:t>
      </w:r>
      <w:r w:rsidRPr="00104A35">
        <w:rPr>
          <w:rFonts w:ascii="Times New Roman" w:eastAsia="SimSun" w:hAnsi="Times New Roman" w:cs="Times New Roman"/>
        </w:rPr>
        <w:t xml:space="preserve"> 2014. “Plucking the geese. Traditional ways of raising tax do not work well in a </w:t>
      </w:r>
      <w:proofErr w:type="spellStart"/>
      <w:r w:rsidRPr="00104A35">
        <w:rPr>
          <w:rFonts w:ascii="Times New Roman" w:eastAsia="SimSun" w:hAnsi="Times New Roman" w:cs="Times New Roman"/>
        </w:rPr>
        <w:t>globalised</w:t>
      </w:r>
      <w:proofErr w:type="spellEnd"/>
      <w:r w:rsidRPr="00104A35">
        <w:rPr>
          <w:rFonts w:ascii="Times New Roman" w:eastAsia="SimSun" w:hAnsi="Times New Roman" w:cs="Times New Roman"/>
        </w:rPr>
        <w:t xml:space="preserve"> world.” February 22</w:t>
      </w:r>
      <w:r w:rsidRPr="00104A35">
        <w:rPr>
          <w:rFonts w:ascii="Times New Roman" w:eastAsia="SimSun" w:hAnsi="Times New Roman" w:cs="Times New Roman"/>
          <w:vertAlign w:val="superscript"/>
        </w:rPr>
        <w:t>nd</w:t>
      </w:r>
      <w:r w:rsidRPr="00104A35">
        <w:rPr>
          <w:rFonts w:ascii="Times New Roman" w:eastAsia="SimSun" w:hAnsi="Times New Roman" w:cs="Times New Roman"/>
        </w:rPr>
        <w:t>. &lt;</w:t>
      </w:r>
      <w:r w:rsidRPr="00104A35">
        <w:rPr>
          <w:rFonts w:ascii="Times New Roman" w:hAnsi="Times New Roman" w:cs="Times New Roman"/>
        </w:rPr>
        <w:t xml:space="preserve"> </w:t>
      </w:r>
      <w:hyperlink r:id="rId11" w:history="1">
        <w:r w:rsidR="00A62812" w:rsidRPr="00104A35">
          <w:rPr>
            <w:rStyle w:val="Hyperlink"/>
            <w:rFonts w:ascii="Times New Roman" w:eastAsia="SimSun" w:hAnsi="Times New Roman" w:cs="Times New Roman"/>
          </w:rPr>
          <w:t>http://www.economist.com/news/special-report/21596672-traditional-ways-raising-tax-do-not-work-well-globalised-world-plucking-geese</w:t>
        </w:r>
      </w:hyperlink>
      <w:r w:rsidRPr="00104A35">
        <w:rPr>
          <w:rFonts w:ascii="Times New Roman" w:eastAsia="SimSun" w:hAnsi="Times New Roman" w:cs="Times New Roman"/>
        </w:rPr>
        <w:t>&gt;</w:t>
      </w:r>
    </w:p>
    <w:p w14:paraId="7F8716EA" w14:textId="77777777" w:rsidR="00A62812" w:rsidRPr="00104A35" w:rsidRDefault="00867273" w:rsidP="00867273">
      <w:pPr>
        <w:spacing w:line="240" w:lineRule="auto"/>
        <w:ind w:left="360" w:hanging="360"/>
        <w:contextualSpacing/>
        <w:rPr>
          <w:rFonts w:ascii="Times New Roman" w:eastAsia="SimSun" w:hAnsi="Times New Roman" w:cs="Times New Roman"/>
          <w:i/>
        </w:rPr>
      </w:pPr>
      <w:r w:rsidRPr="00104A35">
        <w:rPr>
          <w:rFonts w:ascii="Times New Roman" w:eastAsia="SimSun" w:hAnsi="Times New Roman" w:cs="Times New Roman"/>
        </w:rPr>
        <w:t xml:space="preserve">Findley, Michael, Daniel Nielson, and Jason Sharman. 2012. “Global Shell Games: Testing Money Launderers’ and Terrorist Financiers’ Access to Shell Companies.” </w:t>
      </w:r>
      <w:r w:rsidRPr="00104A35">
        <w:rPr>
          <w:rFonts w:ascii="Times New Roman" w:eastAsia="SimSun" w:hAnsi="Times New Roman" w:cs="Times New Roman"/>
          <w:i/>
        </w:rPr>
        <w:t>International Organization</w:t>
      </w:r>
    </w:p>
    <w:p w14:paraId="7C871DE5" w14:textId="77777777" w:rsidR="004E77AC" w:rsidRPr="00104A35" w:rsidRDefault="00C04DBE" w:rsidP="00EF3A4B">
      <w:pPr>
        <w:spacing w:line="240" w:lineRule="auto"/>
        <w:ind w:left="360" w:hanging="360"/>
        <w:contextualSpacing/>
        <w:rPr>
          <w:rFonts w:ascii="Times New Roman" w:eastAsia="SimSun" w:hAnsi="Times New Roman" w:cs="Times New Roman"/>
        </w:rPr>
      </w:pPr>
      <w:proofErr w:type="spellStart"/>
      <w:r w:rsidRPr="00104A35">
        <w:rPr>
          <w:rFonts w:ascii="Times New Roman" w:eastAsia="SimSun" w:hAnsi="Times New Roman" w:cs="Times New Roman"/>
        </w:rPr>
        <w:t>Ganguli</w:t>
      </w:r>
      <w:proofErr w:type="spellEnd"/>
      <w:r w:rsidRPr="00104A35">
        <w:rPr>
          <w:rFonts w:ascii="Times New Roman" w:eastAsia="SimSun" w:hAnsi="Times New Roman" w:cs="Times New Roman"/>
        </w:rPr>
        <w:t xml:space="preserve">, </w:t>
      </w:r>
      <w:proofErr w:type="spellStart"/>
      <w:r w:rsidRPr="00104A35">
        <w:rPr>
          <w:rFonts w:ascii="Times New Roman" w:eastAsia="SimSun" w:hAnsi="Times New Roman" w:cs="Times New Roman"/>
        </w:rPr>
        <w:t>Sampriti</w:t>
      </w:r>
      <w:proofErr w:type="spellEnd"/>
      <w:r w:rsidRPr="00104A35">
        <w:rPr>
          <w:rFonts w:ascii="Times New Roman" w:eastAsia="SimSun" w:hAnsi="Times New Roman" w:cs="Times New Roman"/>
        </w:rPr>
        <w:t xml:space="preserve">. 2013. “3 Risks Transfer Pricing Management.” </w:t>
      </w:r>
      <w:proofErr w:type="gramStart"/>
      <w:r w:rsidRPr="00104A35">
        <w:rPr>
          <w:rFonts w:ascii="Times New Roman" w:eastAsia="SimSun" w:hAnsi="Times New Roman" w:cs="Times New Roman"/>
        </w:rPr>
        <w:t>Corporate Executive Board Blogs.</w:t>
      </w:r>
      <w:proofErr w:type="gramEnd"/>
      <w:r w:rsidRPr="00104A35">
        <w:rPr>
          <w:rFonts w:ascii="Times New Roman" w:eastAsia="SimSun" w:hAnsi="Times New Roman" w:cs="Times New Roman"/>
        </w:rPr>
        <w:t xml:space="preserve"> &lt;</w:t>
      </w:r>
      <w:r w:rsidRPr="00104A35">
        <w:rPr>
          <w:rFonts w:ascii="Times New Roman" w:hAnsi="Times New Roman" w:cs="Times New Roman"/>
        </w:rPr>
        <w:t xml:space="preserve"> </w:t>
      </w:r>
      <w:hyperlink r:id="rId12" w:history="1">
        <w:r w:rsidRPr="00104A35">
          <w:rPr>
            <w:rStyle w:val="Hyperlink"/>
            <w:rFonts w:ascii="Times New Roman" w:eastAsia="SimSun" w:hAnsi="Times New Roman" w:cs="Times New Roman"/>
          </w:rPr>
          <w:t>http://www.executiveboard.com/blogs/3-risks-with-transfer-pricing-management/</w:t>
        </w:r>
      </w:hyperlink>
      <w:r w:rsidRPr="00104A35">
        <w:rPr>
          <w:rFonts w:ascii="Times New Roman" w:eastAsia="SimSun" w:hAnsi="Times New Roman" w:cs="Times New Roman"/>
        </w:rPr>
        <w:t>&gt;</w:t>
      </w:r>
    </w:p>
    <w:p w14:paraId="6692C304" w14:textId="77777777" w:rsidR="004E77AC" w:rsidRPr="00104A35" w:rsidRDefault="004E77AC" w:rsidP="004E77AC">
      <w:pPr>
        <w:spacing w:line="240" w:lineRule="auto"/>
        <w:ind w:left="360" w:hanging="360"/>
        <w:contextualSpacing/>
        <w:rPr>
          <w:rFonts w:ascii="Times New Roman" w:eastAsia="SimSun" w:hAnsi="Times New Roman" w:cs="Times New Roman"/>
        </w:rPr>
      </w:pPr>
      <w:r w:rsidRPr="00104A35">
        <w:rPr>
          <w:rFonts w:ascii="Times New Roman" w:eastAsia="SimSun" w:hAnsi="Times New Roman" w:cs="Times New Roman"/>
        </w:rPr>
        <w:t>General Statistical Office (GSO). 2014. Socio-Economic Statistical Data. Available at http://www.gso.gov.vn/</w:t>
      </w:r>
    </w:p>
    <w:p w14:paraId="27504ECA" w14:textId="77777777" w:rsidR="00C04DBE" w:rsidRPr="00586237" w:rsidRDefault="00C04DBE" w:rsidP="00C04DBE">
      <w:pPr>
        <w:spacing w:line="240" w:lineRule="auto"/>
        <w:ind w:left="360" w:hanging="360"/>
        <w:contextualSpacing/>
        <w:rPr>
          <w:rFonts w:ascii="Times New Roman" w:eastAsia="SimSun" w:hAnsi="Times New Roman" w:cs="Times New Roman"/>
        </w:rPr>
      </w:pPr>
      <w:proofErr w:type="spellStart"/>
      <w:r w:rsidRPr="00104A35">
        <w:rPr>
          <w:rFonts w:ascii="Times New Roman" w:eastAsia="SimSun" w:hAnsi="Times New Roman" w:cs="Times New Roman"/>
        </w:rPr>
        <w:t>Grubert</w:t>
      </w:r>
      <w:proofErr w:type="spellEnd"/>
      <w:r w:rsidRPr="00104A35">
        <w:rPr>
          <w:rFonts w:ascii="Times New Roman" w:eastAsia="SimSun" w:hAnsi="Times New Roman" w:cs="Times New Roman"/>
        </w:rPr>
        <w:t xml:space="preserve"> Harry and John </w:t>
      </w:r>
      <w:proofErr w:type="spellStart"/>
      <w:r w:rsidRPr="00104A35">
        <w:rPr>
          <w:rFonts w:ascii="Times New Roman" w:eastAsia="SimSun" w:hAnsi="Times New Roman" w:cs="Times New Roman"/>
        </w:rPr>
        <w:t>Mutti</w:t>
      </w:r>
      <w:proofErr w:type="spellEnd"/>
      <w:r w:rsidRPr="00104A35">
        <w:rPr>
          <w:rFonts w:ascii="Times New Roman" w:eastAsia="SimSun" w:hAnsi="Times New Roman" w:cs="Times New Roman"/>
        </w:rPr>
        <w:t>. 1991. “Taxes, tariffs and transfer pricing in multinationa</w:t>
      </w:r>
      <w:r w:rsidRPr="00586237">
        <w:rPr>
          <w:rFonts w:ascii="Times New Roman" w:eastAsia="SimSun" w:hAnsi="Times New Roman" w:cs="Times New Roman"/>
        </w:rPr>
        <w:t xml:space="preserve">l corporate decision making.” </w:t>
      </w:r>
      <w:r w:rsidRPr="00586237">
        <w:rPr>
          <w:rFonts w:ascii="Times New Roman" w:eastAsia="SimSun" w:hAnsi="Times New Roman" w:cs="Times New Roman"/>
          <w:i/>
        </w:rPr>
        <w:t>The Review of Economics and Statistics</w:t>
      </w:r>
      <w:r w:rsidRPr="00586237">
        <w:rPr>
          <w:rFonts w:ascii="Times New Roman" w:eastAsia="SimSun" w:hAnsi="Times New Roman" w:cs="Times New Roman"/>
        </w:rPr>
        <w:t xml:space="preserve"> 73(2): 285-293.</w:t>
      </w:r>
    </w:p>
    <w:p w14:paraId="4EEB6928" w14:textId="77777777" w:rsidR="00573BDD" w:rsidRPr="00586237" w:rsidRDefault="00573BDD" w:rsidP="00573BDD">
      <w:pPr>
        <w:spacing w:line="240" w:lineRule="auto"/>
        <w:ind w:left="360" w:hanging="360"/>
        <w:contextualSpacing/>
        <w:rPr>
          <w:rFonts w:ascii="Times New Roman" w:hAnsi="Times New Roman" w:cs="Times New Roman"/>
          <w:color w:val="222222"/>
          <w:shd w:val="clear" w:color="auto" w:fill="FFFFFF"/>
        </w:rPr>
      </w:pPr>
      <w:r w:rsidRPr="00586237">
        <w:rPr>
          <w:rFonts w:ascii="Times New Roman" w:hAnsi="Times New Roman" w:cs="Times New Roman"/>
          <w:color w:val="222222"/>
          <w:shd w:val="clear" w:color="auto" w:fill="FFFFFF"/>
        </w:rPr>
        <w:t>Hanson, Gordon H. 2001. “Should Countries Promote Foreign Direct Investment?”G-24 Discussion Paper 9, United Nations Conference on Trade and Development.</w:t>
      </w:r>
    </w:p>
    <w:p w14:paraId="382E1233" w14:textId="77777777" w:rsidR="00573BDD" w:rsidRPr="00586237" w:rsidRDefault="00573BDD" w:rsidP="00D45EE1">
      <w:pPr>
        <w:spacing w:line="240" w:lineRule="auto"/>
        <w:ind w:left="360" w:hanging="360"/>
        <w:contextualSpacing/>
        <w:rPr>
          <w:rFonts w:ascii="Times New Roman" w:eastAsia="SimSun" w:hAnsi="Times New Roman" w:cs="Times New Roman"/>
        </w:rPr>
      </w:pPr>
      <w:r w:rsidRPr="00586237">
        <w:rPr>
          <w:rFonts w:ascii="Times New Roman" w:eastAsia="SimSun" w:hAnsi="Times New Roman" w:cs="Times New Roman"/>
        </w:rPr>
        <w:t xml:space="preserve">Heritage Foundation. 2014. "2013 Index of Economic Freedom Country Ranking", Highlights of the 2013 Index of Economic Freedom, Terry Miller, Kim R. Holmes, Edwin J. </w:t>
      </w:r>
      <w:proofErr w:type="spellStart"/>
      <w:r w:rsidRPr="00586237">
        <w:rPr>
          <w:rFonts w:ascii="Times New Roman" w:eastAsia="SimSun" w:hAnsi="Times New Roman" w:cs="Times New Roman"/>
        </w:rPr>
        <w:t>Feulner</w:t>
      </w:r>
      <w:proofErr w:type="spellEnd"/>
      <w:r w:rsidRPr="00586237">
        <w:rPr>
          <w:rFonts w:ascii="Times New Roman" w:eastAsia="SimSun" w:hAnsi="Times New Roman" w:cs="Times New Roman"/>
        </w:rPr>
        <w:t>, The Heritage Foundation in partnership with The Wall Street Journal, 24 January 2013</w:t>
      </w:r>
    </w:p>
    <w:p w14:paraId="5A7D133B" w14:textId="77777777" w:rsidR="00A62812" w:rsidRPr="00586237" w:rsidRDefault="00586237" w:rsidP="00A62812">
      <w:pPr>
        <w:spacing w:line="240" w:lineRule="auto"/>
        <w:ind w:left="360" w:hanging="360"/>
        <w:contextualSpacing/>
        <w:rPr>
          <w:rFonts w:ascii="Times New Roman" w:eastAsia="SimSun" w:hAnsi="Times New Roman" w:cs="Times New Roman"/>
        </w:rPr>
      </w:pPr>
      <w:proofErr w:type="gramStart"/>
      <w:r w:rsidRPr="00586237">
        <w:rPr>
          <w:rFonts w:ascii="Times New Roman" w:eastAsia="SimSun" w:hAnsi="Times New Roman" w:cs="Times New Roman"/>
        </w:rPr>
        <w:t xml:space="preserve">Head, Keith C., </w:t>
      </w:r>
      <w:r w:rsidR="00A62812" w:rsidRPr="00586237">
        <w:rPr>
          <w:rFonts w:ascii="Times New Roman" w:eastAsia="SimSun" w:hAnsi="Times New Roman" w:cs="Times New Roman"/>
        </w:rPr>
        <w:t xml:space="preserve">John C. </w:t>
      </w:r>
      <w:proofErr w:type="spellStart"/>
      <w:r w:rsidR="00A62812" w:rsidRPr="00586237">
        <w:rPr>
          <w:rFonts w:ascii="Times New Roman" w:eastAsia="SimSun" w:hAnsi="Times New Roman" w:cs="Times New Roman"/>
        </w:rPr>
        <w:t>Ries</w:t>
      </w:r>
      <w:proofErr w:type="spellEnd"/>
      <w:r w:rsidR="00A62812" w:rsidRPr="00586237">
        <w:rPr>
          <w:rFonts w:ascii="Times New Roman" w:eastAsia="SimSun" w:hAnsi="Times New Roman" w:cs="Times New Roman"/>
        </w:rPr>
        <w:t xml:space="preserve"> and Deborah L. Swenson.</w:t>
      </w:r>
      <w:proofErr w:type="gramEnd"/>
      <w:r w:rsidR="00A62812" w:rsidRPr="00586237">
        <w:rPr>
          <w:rFonts w:ascii="Times New Roman" w:eastAsia="SimSun" w:hAnsi="Times New Roman" w:cs="Times New Roman"/>
        </w:rPr>
        <w:t xml:space="preserve"> 2000. “ Attracting Foreign Manufacturing: Investment Promotion and </w:t>
      </w:r>
      <w:proofErr w:type="spellStart"/>
      <w:r w:rsidR="00A62812" w:rsidRPr="00586237">
        <w:rPr>
          <w:rFonts w:ascii="Times New Roman" w:eastAsia="SimSun" w:hAnsi="Times New Roman" w:cs="Times New Roman"/>
        </w:rPr>
        <w:t>Agglom</w:t>
      </w:r>
      <w:r w:rsidRPr="00586237">
        <w:rPr>
          <w:rFonts w:ascii="Times New Roman" w:eastAsia="SimSun" w:hAnsi="Times New Roman" w:cs="Times New Roman"/>
        </w:rPr>
        <w:t>eration,”</w:t>
      </w:r>
      <w:r w:rsidR="00A62812" w:rsidRPr="00586237">
        <w:rPr>
          <w:rFonts w:ascii="Times New Roman" w:eastAsia="SimSun" w:hAnsi="Times New Roman" w:cs="Times New Roman"/>
          <w:i/>
        </w:rPr>
        <w:t>Regional</w:t>
      </w:r>
      <w:proofErr w:type="spellEnd"/>
      <w:r w:rsidR="00A62812" w:rsidRPr="00586237">
        <w:rPr>
          <w:rFonts w:ascii="Times New Roman" w:eastAsia="SimSun" w:hAnsi="Times New Roman" w:cs="Times New Roman"/>
          <w:i/>
        </w:rPr>
        <w:t xml:space="preserve"> Science and Urban Economics</w:t>
      </w:r>
      <w:r w:rsidR="00A62812" w:rsidRPr="00586237">
        <w:rPr>
          <w:rFonts w:ascii="Times New Roman" w:eastAsia="SimSun" w:hAnsi="Times New Roman" w:cs="Times New Roman"/>
        </w:rPr>
        <w:t xml:space="preserve"> 29: 197-218.</w:t>
      </w:r>
    </w:p>
    <w:p w14:paraId="0B579D12" w14:textId="77777777" w:rsidR="00D45EE1" w:rsidRPr="00586237" w:rsidRDefault="00D45EE1" w:rsidP="00D45EE1">
      <w:pPr>
        <w:spacing w:line="240" w:lineRule="auto"/>
        <w:ind w:left="360" w:hanging="360"/>
        <w:contextualSpacing/>
        <w:rPr>
          <w:rFonts w:ascii="Times New Roman" w:eastAsia="SimSun" w:hAnsi="Times New Roman" w:cs="Times New Roman"/>
        </w:rPr>
      </w:pPr>
      <w:r w:rsidRPr="00586237">
        <w:rPr>
          <w:rFonts w:ascii="Times New Roman" w:eastAsia="SimSun" w:hAnsi="Times New Roman" w:cs="Times New Roman"/>
        </w:rPr>
        <w:t xml:space="preserve">Hines, James R., Jr. 2010a. “Treasure Islands.” </w:t>
      </w:r>
      <w:r w:rsidRPr="00586237">
        <w:rPr>
          <w:rFonts w:ascii="Times New Roman" w:eastAsia="SimSun" w:hAnsi="Times New Roman" w:cs="Times New Roman"/>
          <w:i/>
        </w:rPr>
        <w:t>Journal of Economic Perspectives</w:t>
      </w:r>
      <w:r w:rsidRPr="00586237">
        <w:rPr>
          <w:rFonts w:ascii="Times New Roman" w:eastAsia="SimSun" w:hAnsi="Times New Roman" w:cs="Times New Roman"/>
        </w:rPr>
        <w:t xml:space="preserve"> 24(4): 103–126.</w:t>
      </w:r>
    </w:p>
    <w:p w14:paraId="3B317ED3" w14:textId="77777777" w:rsidR="00D45EE1" w:rsidRPr="00586237" w:rsidRDefault="00D45EE1" w:rsidP="00D45EE1">
      <w:pPr>
        <w:spacing w:line="240" w:lineRule="auto"/>
        <w:ind w:left="360" w:hanging="360"/>
        <w:contextualSpacing/>
        <w:rPr>
          <w:rFonts w:ascii="Times New Roman" w:eastAsia="SimSun" w:hAnsi="Times New Roman" w:cs="Times New Roman"/>
        </w:rPr>
      </w:pPr>
      <w:r w:rsidRPr="00586237">
        <w:rPr>
          <w:rFonts w:ascii="Times New Roman" w:eastAsia="SimSun" w:hAnsi="Times New Roman" w:cs="Times New Roman"/>
        </w:rPr>
        <w:t>Hines, James R., Jr. 2010b. “Income Misattribution under Formula Apportionment</w:t>
      </w:r>
      <w:r w:rsidRPr="00586237">
        <w:rPr>
          <w:rFonts w:ascii="Times New Roman" w:eastAsia="SimSun" w:hAnsi="Times New Roman" w:cs="Times New Roman"/>
          <w:i/>
        </w:rPr>
        <w:t>.” European Economic Review</w:t>
      </w:r>
      <w:r w:rsidRPr="00586237">
        <w:rPr>
          <w:rFonts w:ascii="Times New Roman" w:eastAsia="SimSun" w:hAnsi="Times New Roman" w:cs="Times New Roman"/>
        </w:rPr>
        <w:t xml:space="preserve"> 54(1): 108–120.</w:t>
      </w:r>
    </w:p>
    <w:p w14:paraId="74DB42D6" w14:textId="77777777" w:rsidR="00C04DBE" w:rsidRPr="00586237" w:rsidRDefault="00C04DBE" w:rsidP="00C04DBE">
      <w:pPr>
        <w:spacing w:line="240" w:lineRule="auto"/>
        <w:ind w:left="360" w:hanging="360"/>
        <w:contextualSpacing/>
        <w:rPr>
          <w:rFonts w:ascii="Times New Roman" w:eastAsia="SimSun" w:hAnsi="Times New Roman" w:cs="Times New Roman"/>
        </w:rPr>
      </w:pPr>
      <w:proofErr w:type="gramStart"/>
      <w:r w:rsidRPr="00586237">
        <w:rPr>
          <w:rFonts w:ascii="Times New Roman" w:eastAsia="SimSun" w:hAnsi="Times New Roman" w:cs="Times New Roman"/>
        </w:rPr>
        <w:t>Hines James and Eric Rice.</w:t>
      </w:r>
      <w:proofErr w:type="gramEnd"/>
      <w:r w:rsidRPr="00586237">
        <w:rPr>
          <w:rFonts w:ascii="Times New Roman" w:eastAsia="SimSun" w:hAnsi="Times New Roman" w:cs="Times New Roman"/>
        </w:rPr>
        <w:t xml:space="preserve"> 1994. “Fiscal paradise: Foreign tax havens and American business.” </w:t>
      </w:r>
      <w:r w:rsidRPr="00586237">
        <w:rPr>
          <w:rFonts w:ascii="Times New Roman" w:eastAsia="SimSun" w:hAnsi="Times New Roman" w:cs="Times New Roman"/>
          <w:i/>
        </w:rPr>
        <w:t>The Quarterly Journal of Economics</w:t>
      </w:r>
      <w:r w:rsidRPr="00586237">
        <w:rPr>
          <w:rFonts w:ascii="Times New Roman" w:eastAsia="SimSun" w:hAnsi="Times New Roman" w:cs="Times New Roman"/>
        </w:rPr>
        <w:t xml:space="preserve"> 109(1): 149-182</w:t>
      </w:r>
    </w:p>
    <w:p w14:paraId="1A9FF1F2" w14:textId="77777777" w:rsidR="00C04DBE" w:rsidRPr="00586237" w:rsidRDefault="00C04DBE" w:rsidP="00C04DBE">
      <w:pPr>
        <w:spacing w:after="0" w:line="240" w:lineRule="auto"/>
        <w:ind w:left="360" w:hanging="360"/>
        <w:rPr>
          <w:rFonts w:ascii="Times New Roman" w:eastAsia="SimSun" w:hAnsi="Times New Roman" w:cs="Times New Roman"/>
          <w:bCs/>
        </w:rPr>
      </w:pPr>
      <w:r w:rsidRPr="00586237">
        <w:rPr>
          <w:rFonts w:ascii="Times New Roman" w:eastAsia="SimSun" w:hAnsi="Times New Roman" w:cs="Times New Roman"/>
          <w:bCs/>
        </w:rPr>
        <w:t xml:space="preserve">KPMG. 2013. “Tax Rates Online.” </w:t>
      </w:r>
      <w:hyperlink r:id="rId13" w:history="1">
        <w:r w:rsidRPr="00586237">
          <w:rPr>
            <w:rStyle w:val="Hyperlink"/>
            <w:rFonts w:ascii="Times New Roman" w:eastAsia="SimSun" w:hAnsi="Times New Roman" w:cs="Times New Roman"/>
            <w:bCs/>
          </w:rPr>
          <w:t>http://www.kpmg.com/global/en/services/tax/tax-tools-and-resources/pages/tax-rates-online.aspx</w:t>
        </w:r>
      </w:hyperlink>
    </w:p>
    <w:p w14:paraId="0511A177" w14:textId="77777777" w:rsidR="00C04DBE" w:rsidRDefault="00C04DBE" w:rsidP="00C04DBE">
      <w:pPr>
        <w:spacing w:after="0" w:line="240" w:lineRule="auto"/>
        <w:ind w:left="360" w:hanging="360"/>
        <w:rPr>
          <w:rFonts w:ascii="Times New Roman" w:eastAsia="SimSun" w:hAnsi="Times New Roman" w:cs="Times New Roman"/>
          <w:bCs/>
        </w:rPr>
      </w:pPr>
      <w:proofErr w:type="spellStart"/>
      <w:r w:rsidRPr="00586237">
        <w:rPr>
          <w:rFonts w:ascii="Times New Roman" w:eastAsia="SimSun" w:hAnsi="Times New Roman" w:cs="Times New Roman"/>
          <w:bCs/>
        </w:rPr>
        <w:t>Kocieniewski</w:t>
      </w:r>
      <w:proofErr w:type="spellEnd"/>
      <w:r w:rsidRPr="00586237">
        <w:rPr>
          <w:rFonts w:ascii="Times New Roman" w:eastAsia="SimSun" w:hAnsi="Times New Roman" w:cs="Times New Roman"/>
          <w:bCs/>
        </w:rPr>
        <w:t xml:space="preserve">, David. 2011. “G.E.’s Strategies Let It Avoid Taxes Altogether.” </w:t>
      </w:r>
      <w:proofErr w:type="gramStart"/>
      <w:r w:rsidRPr="00586237">
        <w:rPr>
          <w:rFonts w:ascii="Times New Roman" w:eastAsia="SimSun" w:hAnsi="Times New Roman" w:cs="Times New Roman"/>
          <w:bCs/>
          <w:i/>
        </w:rPr>
        <w:t>New York Times.</w:t>
      </w:r>
      <w:proofErr w:type="gramEnd"/>
      <w:r w:rsidRPr="00586237">
        <w:rPr>
          <w:rFonts w:ascii="Times New Roman" w:eastAsia="SimSun" w:hAnsi="Times New Roman" w:cs="Times New Roman"/>
          <w:bCs/>
          <w:i/>
        </w:rPr>
        <w:t xml:space="preserve"> </w:t>
      </w:r>
      <w:r w:rsidRPr="00586237">
        <w:rPr>
          <w:rFonts w:ascii="Times New Roman" w:eastAsia="SimSun" w:hAnsi="Times New Roman" w:cs="Times New Roman"/>
          <w:bCs/>
        </w:rPr>
        <w:t>March 24. &lt;</w:t>
      </w:r>
      <w:r w:rsidRPr="00586237">
        <w:rPr>
          <w:rFonts w:ascii="Times New Roman" w:hAnsi="Times New Roman" w:cs="Times New Roman"/>
        </w:rPr>
        <w:t xml:space="preserve"> </w:t>
      </w:r>
      <w:hyperlink r:id="rId14" w:history="1">
        <w:r w:rsidRPr="00586237">
          <w:rPr>
            <w:rStyle w:val="Hyperlink"/>
            <w:rFonts w:ascii="Times New Roman" w:eastAsia="SimSun" w:hAnsi="Times New Roman" w:cs="Times New Roman"/>
            <w:bCs/>
          </w:rPr>
          <w:t>http://www.nytimes.com/2011/03/25/business/economy/25tax.html?ref=butnobodypaysthat&amp;_r=1&amp;</w:t>
        </w:r>
      </w:hyperlink>
      <w:r w:rsidRPr="00586237">
        <w:rPr>
          <w:rFonts w:ascii="Times New Roman" w:eastAsia="SimSun" w:hAnsi="Times New Roman" w:cs="Times New Roman"/>
          <w:bCs/>
        </w:rPr>
        <w:t>&gt;</w:t>
      </w:r>
    </w:p>
    <w:p w14:paraId="106C0FD3" w14:textId="77777777" w:rsidR="00586237" w:rsidRPr="00586237" w:rsidRDefault="00586237" w:rsidP="00C04DBE">
      <w:pPr>
        <w:spacing w:after="0" w:line="240" w:lineRule="auto"/>
        <w:ind w:left="360" w:hanging="360"/>
        <w:rPr>
          <w:rFonts w:ascii="Times New Roman" w:eastAsia="SimSun" w:hAnsi="Times New Roman" w:cs="Times New Roman"/>
          <w:bCs/>
        </w:rPr>
      </w:pPr>
      <w:r>
        <w:rPr>
          <w:rFonts w:ascii="Times New Roman" w:eastAsia="SimSun" w:hAnsi="Times New Roman" w:cs="Times New Roman"/>
          <w:bCs/>
        </w:rPr>
        <w:t>Le Thanh, 2014. “</w:t>
      </w:r>
      <w:proofErr w:type="spellStart"/>
      <w:r w:rsidRPr="00586237">
        <w:rPr>
          <w:rFonts w:ascii="Times New Roman" w:eastAsia="SimSun" w:hAnsi="Times New Roman" w:cs="Times New Roman"/>
          <w:bCs/>
        </w:rPr>
        <w:t>Hộ</w:t>
      </w:r>
      <w:proofErr w:type="spellEnd"/>
      <w:r w:rsidRPr="00586237">
        <w:rPr>
          <w:rFonts w:ascii="Times New Roman" w:eastAsia="SimSun" w:hAnsi="Times New Roman" w:cs="Times New Roman"/>
          <w:bCs/>
        </w:rPr>
        <w:t xml:space="preserve"> </w:t>
      </w:r>
      <w:proofErr w:type="spellStart"/>
      <w:r w:rsidRPr="00586237">
        <w:rPr>
          <w:rFonts w:ascii="Times New Roman" w:eastAsia="SimSun" w:hAnsi="Times New Roman" w:cs="Times New Roman"/>
          <w:bCs/>
        </w:rPr>
        <w:t>kinh</w:t>
      </w:r>
      <w:proofErr w:type="spellEnd"/>
      <w:r w:rsidRPr="00586237">
        <w:rPr>
          <w:rFonts w:ascii="Times New Roman" w:eastAsia="SimSun" w:hAnsi="Times New Roman" w:cs="Times New Roman"/>
          <w:bCs/>
        </w:rPr>
        <w:t xml:space="preserve"> </w:t>
      </w:r>
      <w:proofErr w:type="spellStart"/>
      <w:r w:rsidRPr="00586237">
        <w:rPr>
          <w:rFonts w:ascii="Times New Roman" w:eastAsia="SimSun" w:hAnsi="Times New Roman" w:cs="Times New Roman"/>
          <w:bCs/>
        </w:rPr>
        <w:t>doanh</w:t>
      </w:r>
      <w:proofErr w:type="spellEnd"/>
      <w:r w:rsidRPr="00586237">
        <w:rPr>
          <w:rFonts w:ascii="Times New Roman" w:eastAsia="SimSun" w:hAnsi="Times New Roman" w:cs="Times New Roman"/>
          <w:bCs/>
        </w:rPr>
        <w:t xml:space="preserve"> </w:t>
      </w:r>
      <w:proofErr w:type="spellStart"/>
      <w:r w:rsidRPr="00586237">
        <w:rPr>
          <w:rFonts w:ascii="Times New Roman" w:eastAsia="SimSun" w:hAnsi="Times New Roman" w:cs="Times New Roman"/>
          <w:bCs/>
        </w:rPr>
        <w:t>vẫn</w:t>
      </w:r>
      <w:proofErr w:type="spellEnd"/>
      <w:r w:rsidRPr="00586237">
        <w:rPr>
          <w:rFonts w:ascii="Times New Roman" w:eastAsia="SimSun" w:hAnsi="Times New Roman" w:cs="Times New Roman"/>
          <w:bCs/>
        </w:rPr>
        <w:t xml:space="preserve"> </w:t>
      </w:r>
      <w:proofErr w:type="spellStart"/>
      <w:r w:rsidRPr="00586237">
        <w:rPr>
          <w:rFonts w:ascii="Times New Roman" w:eastAsia="SimSun" w:hAnsi="Times New Roman" w:cs="Times New Roman"/>
          <w:bCs/>
        </w:rPr>
        <w:t>được</w:t>
      </w:r>
      <w:proofErr w:type="spellEnd"/>
      <w:r w:rsidRPr="00586237">
        <w:rPr>
          <w:rFonts w:ascii="Times New Roman" w:eastAsia="SimSun" w:hAnsi="Times New Roman" w:cs="Times New Roman"/>
          <w:bCs/>
        </w:rPr>
        <w:t xml:space="preserve"> </w:t>
      </w:r>
      <w:proofErr w:type="spellStart"/>
      <w:r w:rsidRPr="00586237">
        <w:rPr>
          <w:rFonts w:ascii="Times New Roman" w:eastAsia="SimSun" w:hAnsi="Times New Roman" w:cs="Times New Roman"/>
          <w:bCs/>
        </w:rPr>
        <w:t>mua</w:t>
      </w:r>
      <w:proofErr w:type="spellEnd"/>
      <w:r w:rsidRPr="00586237">
        <w:rPr>
          <w:rFonts w:ascii="Times New Roman" w:eastAsia="SimSun" w:hAnsi="Times New Roman" w:cs="Times New Roman"/>
          <w:bCs/>
        </w:rPr>
        <w:t xml:space="preserve"> </w:t>
      </w:r>
      <w:proofErr w:type="spellStart"/>
      <w:r w:rsidRPr="00586237">
        <w:rPr>
          <w:rFonts w:ascii="Times New Roman" w:eastAsia="SimSun" w:hAnsi="Times New Roman" w:cs="Times New Roman"/>
          <w:bCs/>
        </w:rPr>
        <w:t>hóa</w:t>
      </w:r>
      <w:proofErr w:type="spellEnd"/>
      <w:r w:rsidRPr="00586237">
        <w:rPr>
          <w:rFonts w:ascii="Times New Roman" w:eastAsia="SimSun" w:hAnsi="Times New Roman" w:cs="Times New Roman"/>
          <w:bCs/>
        </w:rPr>
        <w:t xml:space="preserve"> </w:t>
      </w:r>
      <w:proofErr w:type="spellStart"/>
      <w:r w:rsidRPr="00586237">
        <w:rPr>
          <w:rFonts w:ascii="Times New Roman" w:eastAsia="SimSun" w:hAnsi="Times New Roman" w:cs="Times New Roman"/>
          <w:bCs/>
        </w:rPr>
        <w:t>đơn</w:t>
      </w:r>
      <w:proofErr w:type="spellEnd"/>
      <w:r>
        <w:rPr>
          <w:rFonts w:ascii="Times New Roman" w:eastAsia="SimSun" w:hAnsi="Times New Roman" w:cs="Times New Roman"/>
          <w:bCs/>
        </w:rPr>
        <w:t xml:space="preserve">.” [Household Companies Are Able to Purchase VAT Receipts] </w:t>
      </w:r>
      <w:proofErr w:type="spellStart"/>
      <w:r>
        <w:rPr>
          <w:rFonts w:ascii="Times New Roman" w:eastAsia="SimSun" w:hAnsi="Times New Roman" w:cs="Times New Roman"/>
          <w:bCs/>
          <w:i/>
        </w:rPr>
        <w:t>Tuoi</w:t>
      </w:r>
      <w:proofErr w:type="spellEnd"/>
      <w:r>
        <w:rPr>
          <w:rFonts w:ascii="Times New Roman" w:eastAsia="SimSun" w:hAnsi="Times New Roman" w:cs="Times New Roman"/>
          <w:bCs/>
          <w:i/>
        </w:rPr>
        <w:t xml:space="preserve"> Tre Online [Youth Online]</w:t>
      </w:r>
      <w:r>
        <w:rPr>
          <w:rFonts w:ascii="Times New Roman" w:eastAsia="SimSun" w:hAnsi="Times New Roman" w:cs="Times New Roman"/>
          <w:bCs/>
        </w:rPr>
        <w:t>, December 17.</w:t>
      </w:r>
    </w:p>
    <w:p w14:paraId="1CA7D0F8" w14:textId="77777777" w:rsidR="00573BDD" w:rsidRPr="00586237" w:rsidRDefault="00573BDD" w:rsidP="00573BDD">
      <w:pPr>
        <w:spacing w:after="0" w:line="240" w:lineRule="auto"/>
        <w:ind w:left="360" w:hanging="360"/>
        <w:rPr>
          <w:rFonts w:ascii="Times New Roman" w:eastAsia="SimSun" w:hAnsi="Times New Roman" w:cs="Times New Roman"/>
          <w:bCs/>
        </w:rPr>
      </w:pPr>
      <w:proofErr w:type="gramStart"/>
      <w:r w:rsidRPr="00586237">
        <w:rPr>
          <w:rFonts w:ascii="Times New Roman" w:eastAsia="SimSun" w:hAnsi="Times New Roman" w:cs="Times New Roman"/>
          <w:bCs/>
        </w:rPr>
        <w:t>Moran, Theodore H. 1999.</w:t>
      </w:r>
      <w:proofErr w:type="gramEnd"/>
      <w:r w:rsidRPr="00586237">
        <w:rPr>
          <w:rFonts w:ascii="Times New Roman" w:eastAsia="SimSun" w:hAnsi="Times New Roman" w:cs="Times New Roman"/>
          <w:bCs/>
        </w:rPr>
        <w:t xml:space="preserve"> </w:t>
      </w:r>
      <w:r w:rsidRPr="00586237">
        <w:rPr>
          <w:rFonts w:ascii="Times New Roman" w:eastAsia="SimSun" w:hAnsi="Times New Roman" w:cs="Times New Roman"/>
          <w:bCs/>
          <w:i/>
        </w:rPr>
        <w:t>Foreign Direct Investment and Development.</w:t>
      </w:r>
      <w:r w:rsidR="00586237" w:rsidRPr="00586237">
        <w:rPr>
          <w:rFonts w:ascii="Times New Roman" w:eastAsia="SimSun" w:hAnsi="Times New Roman" w:cs="Times New Roman"/>
          <w:bCs/>
        </w:rPr>
        <w:t xml:space="preserve"> </w:t>
      </w:r>
      <w:r w:rsidRPr="00586237">
        <w:rPr>
          <w:rFonts w:ascii="Times New Roman" w:eastAsia="SimSun" w:hAnsi="Times New Roman" w:cs="Times New Roman"/>
          <w:bCs/>
        </w:rPr>
        <w:t>Washington, DC: Institute for International Economics.</w:t>
      </w:r>
    </w:p>
    <w:p w14:paraId="6D088039" w14:textId="77777777" w:rsidR="00455810" w:rsidRPr="00586237" w:rsidRDefault="00455810" w:rsidP="00573BDD">
      <w:pPr>
        <w:spacing w:after="0" w:line="240" w:lineRule="auto"/>
        <w:ind w:left="360" w:hanging="360"/>
        <w:rPr>
          <w:rFonts w:ascii="Times New Roman" w:eastAsia="SimSun" w:hAnsi="Times New Roman" w:cs="Times New Roman"/>
          <w:bCs/>
        </w:rPr>
      </w:pPr>
      <w:r w:rsidRPr="00455810">
        <w:rPr>
          <w:rFonts w:ascii="Times New Roman" w:eastAsia="SimSun" w:hAnsi="Times New Roman" w:cs="Times New Roman"/>
          <w:bCs/>
        </w:rPr>
        <w:t>Moore, Mick.  2004. “Revenue, State Formation, and the Quality of Governance in Developing Countries.” International Political Science Review 25(3): 297-319.</w:t>
      </w:r>
    </w:p>
    <w:p w14:paraId="7A2C0B81" w14:textId="77777777" w:rsidR="00A62812" w:rsidRPr="00586237" w:rsidRDefault="00A62812" w:rsidP="00586237">
      <w:pPr>
        <w:spacing w:after="0" w:line="240" w:lineRule="auto"/>
        <w:ind w:left="360" w:hanging="360"/>
        <w:rPr>
          <w:rFonts w:ascii="Times New Roman" w:eastAsia="SimSun" w:hAnsi="Times New Roman" w:cs="Times New Roman"/>
          <w:bCs/>
        </w:rPr>
      </w:pPr>
      <w:r w:rsidRPr="00586237">
        <w:rPr>
          <w:rFonts w:ascii="Times New Roman" w:eastAsia="SimSun" w:hAnsi="Times New Roman" w:cs="Times New Roman"/>
          <w:bCs/>
        </w:rPr>
        <w:t xml:space="preserve">Mosley, Layna, and </w:t>
      </w:r>
      <w:proofErr w:type="spellStart"/>
      <w:r w:rsidRPr="00586237">
        <w:rPr>
          <w:rFonts w:ascii="Times New Roman" w:eastAsia="SimSun" w:hAnsi="Times New Roman" w:cs="Times New Roman"/>
          <w:bCs/>
        </w:rPr>
        <w:t>Saika</w:t>
      </w:r>
      <w:proofErr w:type="spellEnd"/>
      <w:r w:rsidRPr="00586237">
        <w:rPr>
          <w:rFonts w:ascii="Times New Roman" w:eastAsia="SimSun" w:hAnsi="Times New Roman" w:cs="Times New Roman"/>
          <w:bCs/>
        </w:rPr>
        <w:t xml:space="preserve"> Uno. 2007. “Racing t</w:t>
      </w:r>
      <w:r w:rsidR="00586237" w:rsidRPr="00586237">
        <w:rPr>
          <w:rFonts w:ascii="Times New Roman" w:eastAsia="SimSun" w:hAnsi="Times New Roman" w:cs="Times New Roman"/>
          <w:bCs/>
        </w:rPr>
        <w:t xml:space="preserve">o the Bottom or Climbing to the </w:t>
      </w:r>
      <w:r w:rsidRPr="00586237">
        <w:rPr>
          <w:rFonts w:ascii="Times New Roman" w:eastAsia="SimSun" w:hAnsi="Times New Roman" w:cs="Times New Roman"/>
          <w:bCs/>
        </w:rPr>
        <w:t xml:space="preserve">Top.” </w:t>
      </w:r>
      <w:r w:rsidRPr="00586237">
        <w:rPr>
          <w:rFonts w:ascii="Times New Roman" w:eastAsia="SimSun" w:hAnsi="Times New Roman" w:cs="Times New Roman"/>
          <w:bCs/>
          <w:i/>
        </w:rPr>
        <w:t>Comparative Political Studies</w:t>
      </w:r>
      <w:r w:rsidR="00586237" w:rsidRPr="00586237">
        <w:rPr>
          <w:rFonts w:ascii="Times New Roman" w:eastAsia="SimSun" w:hAnsi="Times New Roman" w:cs="Times New Roman"/>
          <w:bCs/>
        </w:rPr>
        <w:t xml:space="preserve"> 40.</w:t>
      </w:r>
      <w:r w:rsidRPr="00586237">
        <w:rPr>
          <w:rFonts w:ascii="Times New Roman" w:eastAsia="SimSun" w:hAnsi="Times New Roman" w:cs="Times New Roman"/>
          <w:bCs/>
        </w:rPr>
        <w:t>8:923–48.</w:t>
      </w:r>
    </w:p>
    <w:p w14:paraId="06C25D5C" w14:textId="77777777" w:rsidR="00C04DBE" w:rsidRPr="00586237" w:rsidRDefault="00C04DBE" w:rsidP="00C04DBE">
      <w:pPr>
        <w:spacing w:after="0" w:line="240" w:lineRule="auto"/>
        <w:ind w:left="360" w:hanging="360"/>
        <w:rPr>
          <w:rFonts w:ascii="Times New Roman" w:eastAsia="SimSun" w:hAnsi="Times New Roman" w:cs="Times New Roman"/>
          <w:bCs/>
        </w:rPr>
      </w:pPr>
      <w:proofErr w:type="spellStart"/>
      <w:r w:rsidRPr="00586237">
        <w:rPr>
          <w:rFonts w:ascii="Times New Roman" w:eastAsia="SimSun" w:hAnsi="Times New Roman" w:cs="Times New Roman"/>
          <w:bCs/>
        </w:rPr>
        <w:t>Mirrlees</w:t>
      </w:r>
      <w:proofErr w:type="spellEnd"/>
      <w:r w:rsidRPr="00586237">
        <w:rPr>
          <w:rFonts w:ascii="Times New Roman" w:eastAsia="SimSun" w:hAnsi="Times New Roman" w:cs="Times New Roman"/>
          <w:bCs/>
        </w:rPr>
        <w:t xml:space="preserve">, J., Adam, S., </w:t>
      </w:r>
      <w:proofErr w:type="spellStart"/>
      <w:r w:rsidRPr="00586237">
        <w:rPr>
          <w:rFonts w:ascii="Times New Roman" w:eastAsia="SimSun" w:hAnsi="Times New Roman" w:cs="Times New Roman"/>
          <w:bCs/>
        </w:rPr>
        <w:t>Besley</w:t>
      </w:r>
      <w:proofErr w:type="spellEnd"/>
      <w:r w:rsidRPr="00586237">
        <w:rPr>
          <w:rFonts w:ascii="Times New Roman" w:eastAsia="SimSun" w:hAnsi="Times New Roman" w:cs="Times New Roman"/>
          <w:bCs/>
        </w:rPr>
        <w:t xml:space="preserve">, T., Blundell, R., Bond, S., </w:t>
      </w:r>
      <w:proofErr w:type="spellStart"/>
      <w:r w:rsidRPr="00586237">
        <w:rPr>
          <w:rFonts w:ascii="Times New Roman" w:eastAsia="SimSun" w:hAnsi="Times New Roman" w:cs="Times New Roman"/>
          <w:bCs/>
        </w:rPr>
        <w:t>Chote</w:t>
      </w:r>
      <w:proofErr w:type="spellEnd"/>
      <w:r w:rsidRPr="00586237">
        <w:rPr>
          <w:rFonts w:ascii="Times New Roman" w:eastAsia="SimSun" w:hAnsi="Times New Roman" w:cs="Times New Roman"/>
          <w:bCs/>
        </w:rPr>
        <w:t xml:space="preserve">, R., &amp; </w:t>
      </w:r>
      <w:proofErr w:type="spellStart"/>
      <w:r w:rsidRPr="00586237">
        <w:rPr>
          <w:rFonts w:ascii="Times New Roman" w:eastAsia="SimSun" w:hAnsi="Times New Roman" w:cs="Times New Roman"/>
          <w:bCs/>
        </w:rPr>
        <w:t>Poterba</w:t>
      </w:r>
      <w:proofErr w:type="spellEnd"/>
      <w:r w:rsidRPr="00586237">
        <w:rPr>
          <w:rFonts w:ascii="Times New Roman" w:eastAsia="SimSun" w:hAnsi="Times New Roman" w:cs="Times New Roman"/>
          <w:bCs/>
        </w:rPr>
        <w:t xml:space="preserve">, J. (2012). “The </w:t>
      </w:r>
      <w:proofErr w:type="spellStart"/>
      <w:r w:rsidRPr="00586237">
        <w:rPr>
          <w:rFonts w:ascii="Times New Roman" w:eastAsia="SimSun" w:hAnsi="Times New Roman" w:cs="Times New Roman"/>
          <w:bCs/>
        </w:rPr>
        <w:t>Mirrlees</w:t>
      </w:r>
      <w:proofErr w:type="spellEnd"/>
      <w:r w:rsidRPr="00586237">
        <w:rPr>
          <w:rFonts w:ascii="Times New Roman" w:eastAsia="SimSun" w:hAnsi="Times New Roman" w:cs="Times New Roman"/>
          <w:bCs/>
        </w:rPr>
        <w:t xml:space="preserve"> review: a proposal for systematic tax reform.” </w:t>
      </w:r>
      <w:r w:rsidRPr="00586237">
        <w:rPr>
          <w:rFonts w:ascii="Times New Roman" w:eastAsia="SimSun" w:hAnsi="Times New Roman" w:cs="Times New Roman"/>
          <w:bCs/>
          <w:i/>
        </w:rPr>
        <w:t>National Tax Journal</w:t>
      </w:r>
      <w:r w:rsidR="00586237">
        <w:rPr>
          <w:rFonts w:ascii="Times New Roman" w:eastAsia="SimSun" w:hAnsi="Times New Roman" w:cs="Times New Roman"/>
          <w:bCs/>
        </w:rPr>
        <w:t xml:space="preserve"> 65.3: </w:t>
      </w:r>
      <w:r w:rsidRPr="00586237">
        <w:rPr>
          <w:rFonts w:ascii="Times New Roman" w:eastAsia="SimSun" w:hAnsi="Times New Roman" w:cs="Times New Roman"/>
          <w:bCs/>
        </w:rPr>
        <w:t>655-684.</w:t>
      </w:r>
    </w:p>
    <w:p w14:paraId="698451E2" w14:textId="77777777" w:rsidR="00C04DBE" w:rsidRPr="00586237" w:rsidRDefault="00586237" w:rsidP="00C04DBE">
      <w:pPr>
        <w:spacing w:after="0" w:line="240" w:lineRule="auto"/>
        <w:ind w:left="360" w:hanging="360"/>
        <w:rPr>
          <w:rFonts w:ascii="Times New Roman" w:eastAsia="SimSun" w:hAnsi="Times New Roman" w:cs="Times New Roman"/>
          <w:bCs/>
        </w:rPr>
      </w:pPr>
      <w:proofErr w:type="spellStart"/>
      <w:r>
        <w:rPr>
          <w:rFonts w:ascii="Times New Roman" w:eastAsia="SimSun" w:hAnsi="Times New Roman" w:cs="Times New Roman"/>
          <w:bCs/>
        </w:rPr>
        <w:t>Neighbour</w:t>
      </w:r>
      <w:proofErr w:type="spellEnd"/>
      <w:r>
        <w:rPr>
          <w:rFonts w:ascii="Times New Roman" w:eastAsia="SimSun" w:hAnsi="Times New Roman" w:cs="Times New Roman"/>
          <w:bCs/>
        </w:rPr>
        <w:t>, John. 2002.</w:t>
      </w:r>
      <w:r w:rsidR="00C04DBE" w:rsidRPr="00586237">
        <w:rPr>
          <w:rFonts w:ascii="Times New Roman" w:eastAsia="SimSun" w:hAnsi="Times New Roman" w:cs="Times New Roman"/>
          <w:bCs/>
        </w:rPr>
        <w:t xml:space="preserve">“Transfer pricing: </w:t>
      </w:r>
      <w:r>
        <w:rPr>
          <w:rFonts w:ascii="Times New Roman" w:eastAsia="SimSun" w:hAnsi="Times New Roman" w:cs="Times New Roman"/>
          <w:bCs/>
        </w:rPr>
        <w:t xml:space="preserve">Keeping it at arm’s length,” </w:t>
      </w:r>
      <w:r w:rsidR="00C04DBE" w:rsidRPr="00586237">
        <w:rPr>
          <w:rFonts w:ascii="Times New Roman" w:eastAsia="SimSun" w:hAnsi="Times New Roman" w:cs="Times New Roman"/>
          <w:bCs/>
          <w:i/>
        </w:rPr>
        <w:t xml:space="preserve">OECD Observer </w:t>
      </w:r>
      <w:r>
        <w:rPr>
          <w:rFonts w:ascii="Times New Roman" w:eastAsia="SimSun" w:hAnsi="Times New Roman" w:cs="Times New Roman"/>
          <w:bCs/>
        </w:rPr>
        <w:t>230, January/</w:t>
      </w:r>
    </w:p>
    <w:p w14:paraId="1446458A" w14:textId="77777777" w:rsidR="00C04DBE" w:rsidRPr="00586237" w:rsidRDefault="00C04DBE" w:rsidP="00C04DBE">
      <w:pPr>
        <w:spacing w:after="0" w:line="240" w:lineRule="auto"/>
        <w:ind w:left="360" w:hanging="360"/>
        <w:rPr>
          <w:rFonts w:ascii="Times New Roman" w:eastAsia="SimSun" w:hAnsi="Times New Roman" w:cs="Times New Roman"/>
          <w:bCs/>
        </w:rPr>
      </w:pPr>
      <w:r w:rsidRPr="00586237">
        <w:rPr>
          <w:rFonts w:ascii="Times New Roman" w:eastAsia="SimSun" w:hAnsi="Times New Roman" w:cs="Times New Roman"/>
          <w:bCs/>
        </w:rPr>
        <w:t xml:space="preserve">Nguyen Trang. 2012. “Big Names Face Tax Scrutiny.” </w:t>
      </w:r>
      <w:proofErr w:type="gramStart"/>
      <w:r w:rsidRPr="00586237">
        <w:rPr>
          <w:rFonts w:ascii="Times New Roman" w:eastAsia="SimSun" w:hAnsi="Times New Roman" w:cs="Times New Roman"/>
          <w:bCs/>
          <w:i/>
        </w:rPr>
        <w:t>Vietnam Investment Review</w:t>
      </w:r>
      <w:r w:rsidRPr="00586237">
        <w:rPr>
          <w:rFonts w:ascii="Times New Roman" w:eastAsia="SimSun" w:hAnsi="Times New Roman" w:cs="Times New Roman"/>
          <w:bCs/>
        </w:rPr>
        <w:t>.</w:t>
      </w:r>
      <w:proofErr w:type="gramEnd"/>
      <w:r w:rsidRPr="00586237">
        <w:rPr>
          <w:rFonts w:ascii="Times New Roman" w:eastAsia="SimSun" w:hAnsi="Times New Roman" w:cs="Times New Roman"/>
          <w:bCs/>
        </w:rPr>
        <w:t xml:space="preserve">  December 4. &lt;vir.com.vn&gt;</w:t>
      </w:r>
    </w:p>
    <w:p w14:paraId="66E66AF7" w14:textId="77777777" w:rsidR="00C04DBE" w:rsidRPr="00586237" w:rsidRDefault="00C04DBE" w:rsidP="00C04DBE">
      <w:pPr>
        <w:spacing w:after="0" w:line="240" w:lineRule="auto"/>
        <w:ind w:left="360" w:hanging="360"/>
        <w:rPr>
          <w:rFonts w:ascii="Times New Roman" w:eastAsia="SimSun" w:hAnsi="Times New Roman" w:cs="Times New Roman"/>
          <w:bCs/>
        </w:rPr>
      </w:pPr>
      <w:proofErr w:type="gramStart"/>
      <w:r w:rsidRPr="00586237">
        <w:rPr>
          <w:rFonts w:ascii="Times New Roman" w:eastAsia="SimSun" w:hAnsi="Times New Roman" w:cs="Times New Roman"/>
          <w:bCs/>
        </w:rPr>
        <w:lastRenderedPageBreak/>
        <w:t>Parker, Steve &amp; Phan, Vinh Quang &amp; Nguyen, Ngoc Anh, 2005.</w:t>
      </w:r>
      <w:proofErr w:type="gramEnd"/>
      <w:r w:rsidRPr="00586237">
        <w:rPr>
          <w:rFonts w:ascii="Times New Roman" w:eastAsia="SimSun" w:hAnsi="Times New Roman" w:cs="Times New Roman"/>
          <w:bCs/>
        </w:rPr>
        <w:t xml:space="preserve"> “Has the U.S.-Vietnam Bilateral Trade Agreement Led to Higher FDI into Vietnam?” </w:t>
      </w:r>
      <w:proofErr w:type="gramStart"/>
      <w:r w:rsidRPr="00586237">
        <w:rPr>
          <w:rFonts w:ascii="Times New Roman" w:eastAsia="SimSun" w:hAnsi="Times New Roman" w:cs="Times New Roman"/>
          <w:bCs/>
          <w:i/>
        </w:rPr>
        <w:t>MPRA Working Paper.</w:t>
      </w:r>
      <w:proofErr w:type="gramEnd"/>
      <w:r w:rsidRPr="00586237">
        <w:rPr>
          <w:rFonts w:ascii="Times New Roman" w:eastAsia="SimSun" w:hAnsi="Times New Roman" w:cs="Times New Roman"/>
          <w:bCs/>
        </w:rPr>
        <w:t xml:space="preserve"> MPRA Paper 1384, University Library of Munich, Germany</w:t>
      </w:r>
    </w:p>
    <w:p w14:paraId="30A26989" w14:textId="77777777" w:rsidR="00C04DBE" w:rsidRPr="00586237" w:rsidRDefault="00C04DBE" w:rsidP="00C04DBE">
      <w:pPr>
        <w:spacing w:after="0" w:line="240" w:lineRule="auto"/>
        <w:ind w:left="360" w:hanging="360"/>
        <w:rPr>
          <w:rFonts w:ascii="Times New Roman" w:eastAsia="SimSun" w:hAnsi="Times New Roman" w:cs="Times New Roman"/>
          <w:bCs/>
        </w:rPr>
      </w:pPr>
      <w:proofErr w:type="gramStart"/>
      <w:r w:rsidRPr="00586237">
        <w:rPr>
          <w:rFonts w:ascii="Times New Roman" w:eastAsia="SimSun" w:hAnsi="Times New Roman" w:cs="Times New Roman"/>
          <w:bCs/>
        </w:rPr>
        <w:t>OECD 2009, Transfer Pricing Guidelines for Multinational Enterprises and Tax Administrations, Paris.</w:t>
      </w:r>
      <w:proofErr w:type="gramEnd"/>
    </w:p>
    <w:p w14:paraId="61B78482" w14:textId="77777777" w:rsidR="00C04DBE" w:rsidRPr="00586237" w:rsidRDefault="00C04DBE" w:rsidP="00C04DBE">
      <w:pPr>
        <w:spacing w:after="0" w:line="240" w:lineRule="auto"/>
        <w:ind w:left="360" w:hanging="360"/>
        <w:rPr>
          <w:rFonts w:ascii="Times New Roman" w:eastAsia="SimSun" w:hAnsi="Times New Roman" w:cs="Times New Roman"/>
          <w:bCs/>
        </w:rPr>
      </w:pPr>
      <w:r w:rsidRPr="00586237">
        <w:rPr>
          <w:rFonts w:ascii="Times New Roman" w:eastAsia="SimSun" w:hAnsi="Times New Roman" w:cs="Times New Roman"/>
          <w:bCs/>
        </w:rPr>
        <w:t xml:space="preserve">OECD 2007, Dispute Resolution: Country Mutual Agreement Procedure Statistics, available under “transfer pricing” at www.oecd.org/ctp   </w:t>
      </w:r>
    </w:p>
    <w:p w14:paraId="586363F7" w14:textId="77777777" w:rsidR="00117236" w:rsidRPr="00586237" w:rsidRDefault="00C04DBE" w:rsidP="00117236">
      <w:pPr>
        <w:spacing w:after="0" w:line="240" w:lineRule="auto"/>
        <w:ind w:left="360" w:hanging="360"/>
        <w:rPr>
          <w:rStyle w:val="Hyperlink"/>
          <w:rFonts w:ascii="Times New Roman" w:hAnsi="Times New Roman" w:cs="Times New Roman"/>
        </w:rPr>
      </w:pPr>
      <w:proofErr w:type="spellStart"/>
      <w:r w:rsidRPr="00586237">
        <w:rPr>
          <w:rFonts w:ascii="Times New Roman" w:eastAsia="SimSun" w:hAnsi="Times New Roman" w:cs="Times New Roman"/>
          <w:bCs/>
        </w:rPr>
        <w:t>PriceWaterhouse</w:t>
      </w:r>
      <w:proofErr w:type="spellEnd"/>
      <w:r w:rsidRPr="00586237">
        <w:rPr>
          <w:rFonts w:ascii="Times New Roman" w:eastAsia="SimSun" w:hAnsi="Times New Roman" w:cs="Times New Roman"/>
          <w:bCs/>
        </w:rPr>
        <w:t xml:space="preserve"> Coopers (PwC). 2013. </w:t>
      </w:r>
      <w:r w:rsidRPr="00586237">
        <w:rPr>
          <w:rFonts w:ascii="Times New Roman" w:eastAsia="SimSun" w:hAnsi="Times New Roman" w:cs="Times New Roman"/>
          <w:bCs/>
          <w:i/>
        </w:rPr>
        <w:t>International Transfer Pricing 2012</w:t>
      </w:r>
      <w:r w:rsidRPr="00586237">
        <w:rPr>
          <w:rFonts w:ascii="Times New Roman" w:eastAsia="SimSun" w:hAnsi="Times New Roman" w:cs="Times New Roman"/>
          <w:bCs/>
        </w:rPr>
        <w:t xml:space="preserve">.  </w:t>
      </w:r>
      <w:hyperlink r:id="rId15" w:history="1">
        <w:r w:rsidRPr="00586237">
          <w:rPr>
            <w:rStyle w:val="Hyperlink"/>
            <w:rFonts w:ascii="Times New Roman" w:hAnsi="Times New Roman" w:cs="Times New Roman"/>
          </w:rPr>
          <w:t>www.pwc.com/internationaltp</w:t>
        </w:r>
      </w:hyperlink>
    </w:p>
    <w:p w14:paraId="77FED46B" w14:textId="77777777" w:rsidR="00117236" w:rsidRPr="00586237" w:rsidRDefault="00117236" w:rsidP="00586237">
      <w:pPr>
        <w:spacing w:after="0" w:line="240" w:lineRule="auto"/>
        <w:ind w:left="360" w:hanging="360"/>
        <w:rPr>
          <w:rFonts w:ascii="Times New Roman" w:hAnsi="Times New Roman" w:cs="Times New Roman"/>
          <w:color w:val="0000FF" w:themeColor="hyperlink"/>
          <w:u w:val="single"/>
        </w:rPr>
      </w:pPr>
      <w:r w:rsidRPr="00586237">
        <w:rPr>
          <w:rFonts w:ascii="Times New Roman" w:hAnsi="Times New Roman" w:cs="Times New Roman"/>
        </w:rPr>
        <w:t xml:space="preserve">Pham Anh, 2014. </w:t>
      </w:r>
      <w:r w:rsidRPr="00586237">
        <w:rPr>
          <w:rFonts w:ascii="Times New Roman" w:hAnsi="Times New Roman" w:cs="Times New Roman"/>
          <w:i/>
        </w:rPr>
        <w:t>A Temporary Corporate Income Tax Reduction and Its Effects on Investment and Tax Compliance: A Case Study of Vietnam.</w:t>
      </w:r>
      <w:r w:rsidRPr="00586237">
        <w:rPr>
          <w:rFonts w:ascii="Times New Roman" w:hAnsi="Times New Roman" w:cs="Times New Roman"/>
        </w:rPr>
        <w:t xml:space="preserve">  </w:t>
      </w:r>
      <w:proofErr w:type="gramStart"/>
      <w:r w:rsidRPr="00586237">
        <w:rPr>
          <w:rFonts w:ascii="Times New Roman" w:hAnsi="Times New Roman" w:cs="Times New Roman"/>
        </w:rPr>
        <w:t>Dissertation in Economics, University of California – San Diego.</w:t>
      </w:r>
      <w:proofErr w:type="gramEnd"/>
    </w:p>
    <w:p w14:paraId="0627F6F9" w14:textId="77777777" w:rsidR="00C04DBE" w:rsidRPr="00586237" w:rsidRDefault="00C04DBE" w:rsidP="00C04DBE">
      <w:pPr>
        <w:spacing w:after="0" w:line="240" w:lineRule="auto"/>
        <w:ind w:left="360" w:hanging="360"/>
        <w:rPr>
          <w:rFonts w:ascii="Times New Roman" w:hAnsi="Times New Roman" w:cs="Times New Roman"/>
        </w:rPr>
      </w:pPr>
      <w:r w:rsidRPr="00586237">
        <w:rPr>
          <w:rFonts w:ascii="Times New Roman" w:hAnsi="Times New Roman" w:cs="Times New Roman"/>
        </w:rPr>
        <w:t xml:space="preserve">Pham Huyen. 2013a. “Transfer Pricing: Hundreds of Businesses Named in Black List” </w:t>
      </w:r>
      <w:proofErr w:type="spellStart"/>
      <w:r w:rsidRPr="00586237">
        <w:rPr>
          <w:rFonts w:ascii="Times New Roman" w:hAnsi="Times New Roman" w:cs="Times New Roman"/>
          <w:i/>
        </w:rPr>
        <w:t>VietnamNet</w:t>
      </w:r>
      <w:proofErr w:type="spellEnd"/>
      <w:r w:rsidRPr="00586237">
        <w:rPr>
          <w:rFonts w:ascii="Times New Roman" w:hAnsi="Times New Roman" w:cs="Times New Roman"/>
          <w:i/>
        </w:rPr>
        <w:t xml:space="preserve"> Bridge</w:t>
      </w:r>
      <w:r w:rsidRPr="00586237">
        <w:rPr>
          <w:rFonts w:ascii="Times New Roman" w:hAnsi="Times New Roman" w:cs="Times New Roman"/>
        </w:rPr>
        <w:t>. October 23.</w:t>
      </w:r>
    </w:p>
    <w:p w14:paraId="463A69BA" w14:textId="77777777" w:rsidR="00C04DBE" w:rsidRPr="00586237" w:rsidRDefault="00C04DBE" w:rsidP="00C04DBE">
      <w:pPr>
        <w:spacing w:after="0" w:line="240" w:lineRule="auto"/>
        <w:ind w:left="360" w:hanging="360"/>
        <w:rPr>
          <w:rFonts w:ascii="Times New Roman" w:hAnsi="Times New Roman" w:cs="Times New Roman"/>
        </w:rPr>
      </w:pPr>
      <w:r w:rsidRPr="00586237">
        <w:rPr>
          <w:rFonts w:ascii="Times New Roman" w:hAnsi="Times New Roman" w:cs="Times New Roman"/>
        </w:rPr>
        <w:t xml:space="preserve">Pham Huyen. 2013b. “Transfer Pricing: </w:t>
      </w:r>
      <w:proofErr w:type="spellStart"/>
      <w:r w:rsidRPr="00586237">
        <w:rPr>
          <w:rFonts w:ascii="Times New Roman" w:hAnsi="Times New Roman" w:cs="Times New Roman"/>
        </w:rPr>
        <w:t>Keangnam</w:t>
      </w:r>
      <w:proofErr w:type="spellEnd"/>
      <w:r w:rsidRPr="00586237">
        <w:rPr>
          <w:rFonts w:ascii="Times New Roman" w:hAnsi="Times New Roman" w:cs="Times New Roman"/>
        </w:rPr>
        <w:t xml:space="preserve"> Catches a Tartar” </w:t>
      </w:r>
      <w:proofErr w:type="spellStart"/>
      <w:r w:rsidRPr="00586237">
        <w:rPr>
          <w:rFonts w:ascii="Times New Roman" w:hAnsi="Times New Roman" w:cs="Times New Roman"/>
          <w:i/>
        </w:rPr>
        <w:t>VietnamNet</w:t>
      </w:r>
      <w:proofErr w:type="spellEnd"/>
      <w:r w:rsidRPr="00586237">
        <w:rPr>
          <w:rFonts w:ascii="Times New Roman" w:hAnsi="Times New Roman" w:cs="Times New Roman"/>
          <w:i/>
        </w:rPr>
        <w:t xml:space="preserve"> Bridge</w:t>
      </w:r>
      <w:r w:rsidRPr="00586237">
        <w:rPr>
          <w:rFonts w:ascii="Times New Roman" w:hAnsi="Times New Roman" w:cs="Times New Roman"/>
        </w:rPr>
        <w:t>. November 1.</w:t>
      </w:r>
    </w:p>
    <w:p w14:paraId="49F6D20C" w14:textId="77777777" w:rsidR="00117236" w:rsidRPr="00586237" w:rsidRDefault="004E77AC" w:rsidP="00586237">
      <w:pPr>
        <w:spacing w:after="0" w:line="240" w:lineRule="auto"/>
        <w:ind w:left="360" w:hanging="360"/>
        <w:rPr>
          <w:rFonts w:ascii="Times New Roman" w:hAnsi="Times New Roman" w:cs="Times New Roman"/>
          <w:color w:val="0000FF" w:themeColor="hyperlink"/>
          <w:u w:val="single"/>
        </w:rPr>
      </w:pPr>
      <w:proofErr w:type="spellStart"/>
      <w:r w:rsidRPr="00586237">
        <w:rPr>
          <w:rFonts w:ascii="Times New Roman" w:eastAsia="SimSun" w:hAnsi="Times New Roman" w:cs="Times New Roman"/>
          <w:bCs/>
        </w:rPr>
        <w:t>PriceWaterhouse</w:t>
      </w:r>
      <w:proofErr w:type="spellEnd"/>
      <w:r w:rsidRPr="00586237">
        <w:rPr>
          <w:rFonts w:ascii="Times New Roman" w:eastAsia="SimSun" w:hAnsi="Times New Roman" w:cs="Times New Roman"/>
          <w:bCs/>
        </w:rPr>
        <w:t xml:space="preserve"> Coopers (PwC). 2013. </w:t>
      </w:r>
      <w:r w:rsidRPr="00586237">
        <w:rPr>
          <w:rFonts w:ascii="Times New Roman" w:eastAsia="SimSun" w:hAnsi="Times New Roman" w:cs="Times New Roman"/>
          <w:bCs/>
          <w:i/>
        </w:rPr>
        <w:t>International Transfer Pricing 2012</w:t>
      </w:r>
      <w:r w:rsidRPr="00586237">
        <w:rPr>
          <w:rFonts w:ascii="Times New Roman" w:eastAsia="SimSun" w:hAnsi="Times New Roman" w:cs="Times New Roman"/>
          <w:bCs/>
        </w:rPr>
        <w:t xml:space="preserve">.  </w:t>
      </w:r>
      <w:hyperlink r:id="rId16" w:history="1">
        <w:r w:rsidRPr="00586237">
          <w:rPr>
            <w:rStyle w:val="Hyperlink"/>
            <w:rFonts w:ascii="Times New Roman" w:hAnsi="Times New Roman" w:cs="Times New Roman"/>
          </w:rPr>
          <w:t>www.pwc.com/internationaltp</w:t>
        </w:r>
      </w:hyperlink>
    </w:p>
    <w:p w14:paraId="1CE4E928" w14:textId="77777777" w:rsidR="00117236" w:rsidRPr="00586237" w:rsidRDefault="00117236" w:rsidP="00586237">
      <w:pPr>
        <w:spacing w:after="0" w:line="240" w:lineRule="auto"/>
        <w:ind w:left="360" w:hanging="360"/>
        <w:rPr>
          <w:rFonts w:ascii="Times New Roman" w:hAnsi="Times New Roman" w:cs="Times New Roman"/>
          <w:i/>
        </w:rPr>
      </w:pPr>
      <w:r w:rsidRPr="00586237">
        <w:rPr>
          <w:rFonts w:ascii="Times New Roman" w:hAnsi="Times New Roman" w:cs="Times New Roman"/>
        </w:rPr>
        <w:t>Sachs, Jeffrey, 2013. “</w:t>
      </w:r>
      <w:proofErr w:type="spellStart"/>
      <w:r w:rsidRPr="00586237">
        <w:rPr>
          <w:rFonts w:ascii="Times New Roman" w:hAnsi="Times New Roman" w:cs="Times New Roman"/>
        </w:rPr>
        <w:t>Foreward</w:t>
      </w:r>
      <w:proofErr w:type="spellEnd"/>
      <w:r w:rsidRPr="00586237">
        <w:rPr>
          <w:rFonts w:ascii="Times New Roman" w:hAnsi="Times New Roman" w:cs="Times New Roman"/>
        </w:rPr>
        <w:t xml:space="preserve">” in </w:t>
      </w:r>
      <w:proofErr w:type="gramStart"/>
      <w:r w:rsidRPr="00586237">
        <w:rPr>
          <w:rFonts w:ascii="Times New Roman" w:hAnsi="Times New Roman" w:cs="Times New Roman"/>
          <w:i/>
        </w:rPr>
        <w:t>How</w:t>
      </w:r>
      <w:proofErr w:type="gramEnd"/>
      <w:r w:rsidRPr="00586237">
        <w:rPr>
          <w:rFonts w:ascii="Times New Roman" w:hAnsi="Times New Roman" w:cs="Times New Roman"/>
          <w:i/>
        </w:rPr>
        <w:t xml:space="preserve"> Tax Havens Plunder the Poor</w:t>
      </w:r>
      <w:r w:rsidRPr="00586237">
        <w:rPr>
          <w:rFonts w:ascii="Times New Roman" w:hAnsi="Times New Roman" w:cs="Times New Roman"/>
        </w:rPr>
        <w:t>, (eds.)</w:t>
      </w:r>
      <w:r w:rsidRPr="00586237">
        <w:rPr>
          <w:rFonts w:ascii="Times New Roman" w:hAnsi="Times New Roman" w:cs="Times New Roman"/>
          <w:i/>
        </w:rPr>
        <w:t xml:space="preserve"> </w:t>
      </w:r>
      <w:proofErr w:type="spellStart"/>
      <w:r w:rsidRPr="00586237">
        <w:rPr>
          <w:rFonts w:ascii="Times New Roman" w:hAnsi="Times New Roman" w:cs="Times New Roman"/>
          <w:i/>
        </w:rPr>
        <w:t>ActionAid</w:t>
      </w:r>
      <w:proofErr w:type="spellEnd"/>
      <w:r w:rsidRPr="00586237">
        <w:rPr>
          <w:rFonts w:ascii="Times New Roman" w:hAnsi="Times New Roman" w:cs="Times New Roman"/>
          <w:i/>
        </w:rPr>
        <w:t>, May</w:t>
      </w:r>
      <w:r w:rsidRPr="00586237">
        <w:rPr>
          <w:rFonts w:ascii="Times New Roman" w:hAnsi="Times New Roman" w:cs="Times New Roman"/>
        </w:rPr>
        <w:t xml:space="preserve">: 3. </w:t>
      </w:r>
      <w:r w:rsidRPr="00586237">
        <w:rPr>
          <w:rFonts w:ascii="Times New Roman" w:hAnsi="Times New Roman" w:cs="Times New Roman"/>
          <w:i/>
        </w:rPr>
        <w:t>&lt;</w:t>
      </w:r>
      <w:r w:rsidRPr="00586237">
        <w:rPr>
          <w:rFonts w:ascii="Times New Roman" w:hAnsi="Times New Roman" w:cs="Times New Roman"/>
        </w:rPr>
        <w:t>www.actionaid.org.uk&gt;</w:t>
      </w:r>
    </w:p>
    <w:p w14:paraId="14D1725C" w14:textId="77777777" w:rsidR="004E77AC" w:rsidRPr="00586237" w:rsidRDefault="004E77AC" w:rsidP="00586237">
      <w:pPr>
        <w:spacing w:after="0" w:line="240" w:lineRule="auto"/>
        <w:ind w:left="360" w:hanging="360"/>
        <w:rPr>
          <w:rFonts w:ascii="Times New Roman" w:hAnsi="Times New Roman" w:cs="Times New Roman"/>
        </w:rPr>
      </w:pPr>
      <w:proofErr w:type="spellStart"/>
      <w:r w:rsidRPr="00586237">
        <w:rPr>
          <w:rFonts w:ascii="Times New Roman" w:hAnsi="Times New Roman" w:cs="Times New Roman"/>
        </w:rPr>
        <w:t>Sahadi</w:t>
      </w:r>
      <w:proofErr w:type="spellEnd"/>
      <w:r w:rsidRPr="00586237">
        <w:rPr>
          <w:rFonts w:ascii="Times New Roman" w:hAnsi="Times New Roman" w:cs="Times New Roman"/>
        </w:rPr>
        <w:t xml:space="preserve">, Jeanne. 2013. “How Apple scores its lower tax bill.”  </w:t>
      </w:r>
      <w:r w:rsidRPr="00586237">
        <w:rPr>
          <w:rFonts w:ascii="Times New Roman" w:hAnsi="Times New Roman" w:cs="Times New Roman"/>
          <w:i/>
        </w:rPr>
        <w:t xml:space="preserve">CNN Money. </w:t>
      </w:r>
      <w:r w:rsidRPr="00586237">
        <w:rPr>
          <w:rFonts w:ascii="Times New Roman" w:hAnsi="Times New Roman" w:cs="Times New Roman"/>
        </w:rPr>
        <w:t xml:space="preserve"> &lt; </w:t>
      </w:r>
      <w:hyperlink r:id="rId17" w:history="1">
        <w:r w:rsidRPr="00586237">
          <w:rPr>
            <w:rStyle w:val="Hyperlink"/>
            <w:rFonts w:ascii="Times New Roman" w:hAnsi="Times New Roman" w:cs="Times New Roman"/>
          </w:rPr>
          <w:t>http://money.cnn.com/2013/05/22/news/economy/apple-taxes/</w:t>
        </w:r>
      </w:hyperlink>
      <w:r w:rsidR="00586237">
        <w:rPr>
          <w:rFonts w:ascii="Times New Roman" w:hAnsi="Times New Roman" w:cs="Times New Roman"/>
        </w:rPr>
        <w:t>&gt;</w:t>
      </w:r>
    </w:p>
    <w:p w14:paraId="421CEA32" w14:textId="77777777" w:rsidR="00C04DBE" w:rsidRPr="00586237" w:rsidRDefault="00C04DBE" w:rsidP="00C04DBE">
      <w:pPr>
        <w:spacing w:after="0" w:line="240" w:lineRule="auto"/>
        <w:ind w:left="360" w:hanging="360"/>
        <w:rPr>
          <w:rFonts w:ascii="Times New Roman" w:hAnsi="Times New Roman" w:cs="Times New Roman"/>
        </w:rPr>
      </w:pPr>
      <w:r w:rsidRPr="00586237">
        <w:rPr>
          <w:rFonts w:ascii="Times New Roman" w:hAnsi="Times New Roman" w:cs="Times New Roman"/>
        </w:rPr>
        <w:t xml:space="preserve">Stern, Richard. 2010. “Transfer Pricing in </w:t>
      </w:r>
      <w:proofErr w:type="gramStart"/>
      <w:r w:rsidRPr="00586237">
        <w:rPr>
          <w:rFonts w:ascii="Times New Roman" w:hAnsi="Times New Roman" w:cs="Times New Roman"/>
        </w:rPr>
        <w:t>Developing  Countries</w:t>
      </w:r>
      <w:proofErr w:type="gramEnd"/>
      <w:r w:rsidRPr="00586237">
        <w:rPr>
          <w:rFonts w:ascii="Times New Roman" w:hAnsi="Times New Roman" w:cs="Times New Roman"/>
        </w:rPr>
        <w:t xml:space="preserve">: An Introduction.” </w:t>
      </w:r>
      <w:proofErr w:type="gramStart"/>
      <w:r w:rsidRPr="00586237">
        <w:rPr>
          <w:rFonts w:ascii="Times New Roman" w:hAnsi="Times New Roman" w:cs="Times New Roman"/>
        </w:rPr>
        <w:t>Presentation at International Financial Corporation Meeting in Bangkok, Thailand.</w:t>
      </w:r>
      <w:proofErr w:type="gramEnd"/>
      <w:r w:rsidRPr="00586237">
        <w:rPr>
          <w:rFonts w:ascii="Times New Roman" w:hAnsi="Times New Roman" w:cs="Times New Roman"/>
        </w:rPr>
        <w:t xml:space="preserve"> December 12.</w:t>
      </w:r>
    </w:p>
    <w:p w14:paraId="6A515189" w14:textId="77777777" w:rsidR="00C04DBE" w:rsidRPr="00586237" w:rsidRDefault="00C04DBE" w:rsidP="00C04DBE">
      <w:pPr>
        <w:spacing w:after="0" w:line="240" w:lineRule="auto"/>
        <w:ind w:left="360" w:hanging="360"/>
        <w:rPr>
          <w:rFonts w:ascii="Times New Roman" w:hAnsi="Times New Roman" w:cs="Times New Roman"/>
        </w:rPr>
      </w:pPr>
      <w:r w:rsidRPr="00586237">
        <w:rPr>
          <w:rFonts w:ascii="Times New Roman" w:hAnsi="Times New Roman" w:cs="Times New Roman"/>
        </w:rPr>
        <w:t xml:space="preserve">Thanh Mai. 2013. “Agencies seem powerless to prevent transfer pricing.” </w:t>
      </w:r>
      <w:proofErr w:type="spellStart"/>
      <w:r w:rsidRPr="00586237">
        <w:rPr>
          <w:rFonts w:ascii="Times New Roman" w:hAnsi="Times New Roman" w:cs="Times New Roman"/>
          <w:i/>
        </w:rPr>
        <w:t>VietnamNet</w:t>
      </w:r>
      <w:proofErr w:type="spellEnd"/>
      <w:r w:rsidRPr="00586237">
        <w:rPr>
          <w:rFonts w:ascii="Times New Roman" w:hAnsi="Times New Roman" w:cs="Times New Roman"/>
          <w:i/>
        </w:rPr>
        <w:t xml:space="preserve"> Bridge</w:t>
      </w:r>
      <w:r w:rsidRPr="00586237">
        <w:rPr>
          <w:rFonts w:ascii="Times New Roman" w:hAnsi="Times New Roman" w:cs="Times New Roman"/>
        </w:rPr>
        <w:t xml:space="preserve">. &lt; </w:t>
      </w:r>
      <w:hyperlink r:id="rId18" w:history="1">
        <w:r w:rsidRPr="00586237">
          <w:rPr>
            <w:rStyle w:val="Hyperlink"/>
            <w:rFonts w:ascii="Times New Roman" w:hAnsi="Times New Roman" w:cs="Times New Roman"/>
          </w:rPr>
          <w:t>http://english.vietnamnet.vn/fms/business/85800/agencies-seem-powerless-to-prevent-transfer-pricing.html</w:t>
        </w:r>
      </w:hyperlink>
      <w:r w:rsidRPr="00586237">
        <w:rPr>
          <w:rFonts w:ascii="Times New Roman" w:hAnsi="Times New Roman" w:cs="Times New Roman"/>
        </w:rPr>
        <w:t>&gt;</w:t>
      </w:r>
    </w:p>
    <w:p w14:paraId="4CB1D8A6" w14:textId="77777777" w:rsidR="004E77AC" w:rsidRPr="00586237" w:rsidRDefault="004E77AC" w:rsidP="004E77AC">
      <w:pPr>
        <w:spacing w:after="0" w:line="240" w:lineRule="auto"/>
        <w:ind w:left="360" w:hanging="360"/>
        <w:rPr>
          <w:rFonts w:ascii="Times New Roman" w:hAnsi="Times New Roman" w:cs="Times New Roman"/>
        </w:rPr>
      </w:pPr>
      <w:proofErr w:type="spellStart"/>
      <w:r w:rsidRPr="00586237">
        <w:rPr>
          <w:rFonts w:ascii="Times New Roman" w:hAnsi="Times New Roman" w:cs="Times New Roman"/>
          <w:i/>
        </w:rPr>
        <w:t>Tuoi</w:t>
      </w:r>
      <w:proofErr w:type="spellEnd"/>
      <w:r w:rsidRPr="00586237">
        <w:rPr>
          <w:rFonts w:ascii="Times New Roman" w:hAnsi="Times New Roman" w:cs="Times New Roman"/>
          <w:i/>
        </w:rPr>
        <w:t xml:space="preserve"> Tre. </w:t>
      </w:r>
      <w:r w:rsidRPr="00586237">
        <w:rPr>
          <w:rFonts w:ascii="Times New Roman" w:hAnsi="Times New Roman" w:cs="Times New Roman"/>
        </w:rPr>
        <w:t xml:space="preserve">2013. “We Don’t Evade Taxes: Coca-Cola Vice Chief.” October 6. &lt; </w:t>
      </w:r>
      <w:hyperlink r:id="rId19" w:history="1">
        <w:r w:rsidRPr="00586237">
          <w:rPr>
            <w:rStyle w:val="Hyperlink"/>
            <w:rFonts w:ascii="Times New Roman" w:hAnsi="Times New Roman" w:cs="Times New Roman"/>
          </w:rPr>
          <w:t>http://tuoitrenews.vn/business/10495/we-dont-evade-taxes-cocacola-vice-chief</w:t>
        </w:r>
      </w:hyperlink>
      <w:r w:rsidRPr="00586237">
        <w:rPr>
          <w:rFonts w:ascii="Times New Roman" w:hAnsi="Times New Roman" w:cs="Times New Roman"/>
        </w:rPr>
        <w:t>&gt;</w:t>
      </w:r>
    </w:p>
    <w:p w14:paraId="5DD13703" w14:textId="77777777" w:rsidR="00C04DBE" w:rsidRPr="00586237" w:rsidRDefault="00C04DBE" w:rsidP="00C04DBE">
      <w:pPr>
        <w:spacing w:after="0" w:line="240" w:lineRule="auto"/>
        <w:ind w:left="360" w:hanging="360"/>
        <w:rPr>
          <w:rFonts w:ascii="Times New Roman" w:hAnsi="Times New Roman" w:cs="Times New Roman"/>
        </w:rPr>
      </w:pPr>
      <w:proofErr w:type="gramStart"/>
      <w:r w:rsidRPr="00586237">
        <w:rPr>
          <w:rFonts w:ascii="Times New Roman" w:hAnsi="Times New Roman" w:cs="Times New Roman"/>
        </w:rPr>
        <w:t>United Nations Conference on Trade and Development (UNCTAD) 2013.</w:t>
      </w:r>
      <w:proofErr w:type="gramEnd"/>
      <w:r w:rsidRPr="00586237">
        <w:rPr>
          <w:rFonts w:ascii="Times New Roman" w:hAnsi="Times New Roman" w:cs="Times New Roman"/>
        </w:rPr>
        <w:t xml:space="preserve"> </w:t>
      </w:r>
      <w:proofErr w:type="gramStart"/>
      <w:r w:rsidRPr="00586237">
        <w:rPr>
          <w:rFonts w:ascii="Times New Roman" w:hAnsi="Times New Roman" w:cs="Times New Roman"/>
          <w:i/>
        </w:rPr>
        <w:t>World Investment Report</w:t>
      </w:r>
      <w:r w:rsidRPr="00586237">
        <w:rPr>
          <w:rFonts w:ascii="Times New Roman" w:hAnsi="Times New Roman" w:cs="Times New Roman"/>
        </w:rPr>
        <w:t>.</w:t>
      </w:r>
      <w:proofErr w:type="gramEnd"/>
      <w:r w:rsidRPr="00586237">
        <w:rPr>
          <w:rFonts w:ascii="Times New Roman" w:hAnsi="Times New Roman" w:cs="Times New Roman"/>
        </w:rPr>
        <w:t xml:space="preserve"> Geneva, Switzerland</w:t>
      </w:r>
      <w:r w:rsidR="004E77AC" w:rsidRPr="00586237">
        <w:rPr>
          <w:rFonts w:ascii="Times New Roman" w:hAnsi="Times New Roman" w:cs="Times New Roman"/>
        </w:rPr>
        <w:t>.</w:t>
      </w:r>
    </w:p>
    <w:p w14:paraId="3E385EB5" w14:textId="77777777" w:rsidR="004E77AC" w:rsidRPr="00586237" w:rsidRDefault="004E77AC" w:rsidP="004E77AC">
      <w:pPr>
        <w:spacing w:after="0" w:line="240" w:lineRule="auto"/>
        <w:ind w:left="360" w:hanging="360"/>
        <w:rPr>
          <w:rFonts w:ascii="Times New Roman" w:hAnsi="Times New Roman" w:cs="Times New Roman"/>
        </w:rPr>
      </w:pPr>
      <w:proofErr w:type="spellStart"/>
      <w:r w:rsidRPr="00586237">
        <w:rPr>
          <w:rFonts w:ascii="Times New Roman" w:hAnsi="Times New Roman" w:cs="Times New Roman"/>
          <w:i/>
        </w:rPr>
        <w:t>VietnamNet</w:t>
      </w:r>
      <w:proofErr w:type="spellEnd"/>
      <w:r w:rsidRPr="00586237">
        <w:rPr>
          <w:rFonts w:ascii="Times New Roman" w:hAnsi="Times New Roman" w:cs="Times New Roman"/>
          <w:i/>
        </w:rPr>
        <w:t xml:space="preserve"> Bridge. </w:t>
      </w:r>
      <w:r w:rsidRPr="00586237">
        <w:rPr>
          <w:rFonts w:ascii="Times New Roman" w:hAnsi="Times New Roman" w:cs="Times New Roman"/>
        </w:rPr>
        <w:t xml:space="preserve">2013. “Vietnamese boycotting Coca-Cola on the suspicion about transfer pricing.”  May 6. &lt; </w:t>
      </w:r>
      <w:hyperlink r:id="rId20" w:history="1">
        <w:r w:rsidRPr="00586237">
          <w:rPr>
            <w:rStyle w:val="Hyperlink"/>
            <w:rFonts w:ascii="Times New Roman" w:hAnsi="Times New Roman" w:cs="Times New Roman"/>
          </w:rPr>
          <w:t>http://english.vietnamnet.vn/fms/business/73312/vietnamese-boycotting-coca-cola-on-the-suspicion-about-transfer-pricing.html</w:t>
        </w:r>
      </w:hyperlink>
      <w:r w:rsidRPr="00586237">
        <w:rPr>
          <w:rFonts w:ascii="Times New Roman" w:hAnsi="Times New Roman" w:cs="Times New Roman"/>
        </w:rPr>
        <w:t>&gt;</w:t>
      </w:r>
    </w:p>
    <w:p w14:paraId="13961FD2" w14:textId="77777777" w:rsidR="00A62812" w:rsidRPr="00586237" w:rsidRDefault="00A62812" w:rsidP="00A62812">
      <w:pPr>
        <w:spacing w:after="0" w:line="240" w:lineRule="auto"/>
        <w:ind w:left="360" w:hanging="360"/>
        <w:rPr>
          <w:rFonts w:ascii="Times New Roman" w:hAnsi="Times New Roman" w:cs="Times New Roman"/>
        </w:rPr>
      </w:pPr>
      <w:r w:rsidRPr="00586237">
        <w:rPr>
          <w:rFonts w:ascii="Times New Roman" w:hAnsi="Times New Roman" w:cs="Times New Roman"/>
        </w:rPr>
        <w:t xml:space="preserve">Wells, Louis T., Nancy J. Allen, Jacques </w:t>
      </w:r>
      <w:proofErr w:type="spellStart"/>
      <w:r w:rsidRPr="00586237">
        <w:rPr>
          <w:rFonts w:ascii="Times New Roman" w:hAnsi="Times New Roman" w:cs="Times New Roman"/>
        </w:rPr>
        <w:t>Morisset</w:t>
      </w:r>
      <w:proofErr w:type="spellEnd"/>
      <w:r w:rsidRPr="00586237">
        <w:rPr>
          <w:rFonts w:ascii="Times New Roman" w:hAnsi="Times New Roman" w:cs="Times New Roman"/>
        </w:rPr>
        <w:t xml:space="preserve">, and </w:t>
      </w:r>
      <w:proofErr w:type="spellStart"/>
      <w:r w:rsidRPr="00586237">
        <w:rPr>
          <w:rFonts w:ascii="Times New Roman" w:hAnsi="Times New Roman" w:cs="Times New Roman"/>
        </w:rPr>
        <w:t>Neda</w:t>
      </w:r>
      <w:proofErr w:type="spellEnd"/>
      <w:r w:rsidRPr="00586237">
        <w:rPr>
          <w:rFonts w:ascii="Times New Roman" w:hAnsi="Times New Roman" w:cs="Times New Roman"/>
        </w:rPr>
        <w:t xml:space="preserve"> </w:t>
      </w:r>
      <w:proofErr w:type="spellStart"/>
      <w:r w:rsidRPr="00586237">
        <w:rPr>
          <w:rFonts w:ascii="Times New Roman" w:hAnsi="Times New Roman" w:cs="Times New Roman"/>
        </w:rPr>
        <w:t>Pirnia</w:t>
      </w:r>
      <w:proofErr w:type="spellEnd"/>
      <w:r w:rsidRPr="00586237">
        <w:rPr>
          <w:rFonts w:ascii="Times New Roman" w:hAnsi="Times New Roman" w:cs="Times New Roman"/>
        </w:rPr>
        <w:t xml:space="preserve">.  2001.  “Using Tax Incentives to Compete for Foreign Investment: Are They Worth the Costs?”  </w:t>
      </w:r>
      <w:proofErr w:type="gramStart"/>
      <w:r w:rsidRPr="00586237">
        <w:rPr>
          <w:rFonts w:ascii="Times New Roman" w:hAnsi="Times New Roman" w:cs="Times New Roman"/>
          <w:i/>
        </w:rPr>
        <w:t>FIAS Occasional Paper</w:t>
      </w:r>
      <w:r w:rsidRPr="00586237">
        <w:rPr>
          <w:rFonts w:ascii="Times New Roman" w:hAnsi="Times New Roman" w:cs="Times New Roman"/>
        </w:rPr>
        <w:t xml:space="preserve"> 15.</w:t>
      </w:r>
      <w:proofErr w:type="gramEnd"/>
    </w:p>
    <w:p w14:paraId="014F7B82" w14:textId="77777777" w:rsidR="00C04DBE" w:rsidRPr="00586237" w:rsidRDefault="00C04DBE" w:rsidP="00C04DBE">
      <w:pPr>
        <w:spacing w:after="0" w:line="240" w:lineRule="auto"/>
        <w:ind w:left="360" w:hanging="360"/>
        <w:rPr>
          <w:rFonts w:ascii="Times New Roman" w:hAnsi="Times New Roman" w:cs="Times New Roman"/>
        </w:rPr>
      </w:pPr>
      <w:r w:rsidRPr="00586237">
        <w:rPr>
          <w:rFonts w:ascii="Times New Roman" w:hAnsi="Times New Roman" w:cs="Times New Roman"/>
        </w:rPr>
        <w:t>Wheeler, James</w:t>
      </w:r>
      <w:r w:rsidR="00586237">
        <w:rPr>
          <w:rFonts w:ascii="Times New Roman" w:hAnsi="Times New Roman" w:cs="Times New Roman"/>
        </w:rPr>
        <w:t>,</w:t>
      </w:r>
      <w:r w:rsidRPr="00586237">
        <w:rPr>
          <w:rFonts w:ascii="Times New Roman" w:hAnsi="Times New Roman" w:cs="Times New Roman"/>
        </w:rPr>
        <w:t xml:space="preserve"> E</w:t>
      </w:r>
      <w:r w:rsidR="00586237">
        <w:rPr>
          <w:rFonts w:ascii="Times New Roman" w:hAnsi="Times New Roman" w:cs="Times New Roman"/>
        </w:rPr>
        <w:t>.</w:t>
      </w:r>
      <w:r w:rsidRPr="00586237">
        <w:rPr>
          <w:rFonts w:ascii="Times New Roman" w:hAnsi="Times New Roman" w:cs="Times New Roman"/>
        </w:rPr>
        <w:t xml:space="preserve"> 1988. “</w:t>
      </w:r>
      <w:proofErr w:type="gramStart"/>
      <w:r w:rsidRPr="00586237">
        <w:rPr>
          <w:rFonts w:ascii="Times New Roman" w:hAnsi="Times New Roman" w:cs="Times New Roman"/>
        </w:rPr>
        <w:t>An academic look at transfer</w:t>
      </w:r>
      <w:proofErr w:type="gramEnd"/>
      <w:r w:rsidRPr="00586237">
        <w:rPr>
          <w:rFonts w:ascii="Times New Roman" w:hAnsi="Times New Roman" w:cs="Times New Roman"/>
        </w:rPr>
        <w:t xml:space="preserve"> pricing in a global economy.” </w:t>
      </w:r>
      <w:r w:rsidR="00586237">
        <w:rPr>
          <w:rFonts w:ascii="Times New Roman" w:hAnsi="Times New Roman" w:cs="Times New Roman"/>
          <w:i/>
        </w:rPr>
        <w:t xml:space="preserve"> </w:t>
      </w:r>
      <w:r w:rsidRPr="00586237">
        <w:rPr>
          <w:rFonts w:ascii="Times New Roman" w:hAnsi="Times New Roman" w:cs="Times New Roman"/>
        </w:rPr>
        <w:t>(July 4)</w:t>
      </w:r>
    </w:p>
    <w:p w14:paraId="6141D0E3" w14:textId="77777777" w:rsidR="00C04DBE" w:rsidRPr="00586237" w:rsidRDefault="00C04DBE" w:rsidP="00C04DBE">
      <w:pPr>
        <w:spacing w:after="0" w:line="240" w:lineRule="auto"/>
        <w:ind w:left="360" w:hanging="360"/>
        <w:rPr>
          <w:rFonts w:ascii="Times New Roman" w:hAnsi="Times New Roman" w:cs="Times New Roman"/>
        </w:rPr>
      </w:pPr>
      <w:proofErr w:type="gramStart"/>
      <w:r w:rsidRPr="00586237">
        <w:rPr>
          <w:rFonts w:ascii="Times New Roman" w:hAnsi="Times New Roman" w:cs="Times New Roman"/>
        </w:rPr>
        <w:t>Yang R. 2002.</w:t>
      </w:r>
      <w:proofErr w:type="gramEnd"/>
      <w:r w:rsidRPr="00586237">
        <w:rPr>
          <w:rFonts w:ascii="Times New Roman" w:hAnsi="Times New Roman" w:cs="Times New Roman"/>
        </w:rPr>
        <w:t xml:space="preserve"> “China suffers 30 billion-yuan loss from tax evasion by multinationals”, </w:t>
      </w:r>
      <w:r w:rsidRPr="00586237">
        <w:rPr>
          <w:rFonts w:ascii="Times New Roman" w:hAnsi="Times New Roman" w:cs="Times New Roman"/>
          <w:i/>
        </w:rPr>
        <w:t>China Daily Online</w:t>
      </w:r>
      <w:r w:rsidRPr="00586237">
        <w:rPr>
          <w:rFonts w:ascii="Times New Roman" w:hAnsi="Times New Roman" w:cs="Times New Roman"/>
        </w:rPr>
        <w:t>: July 31, 2002</w:t>
      </w:r>
    </w:p>
    <w:p w14:paraId="34F78A2E" w14:textId="77777777" w:rsidR="00117236" w:rsidRPr="00586237" w:rsidRDefault="00117236" w:rsidP="00C04DBE">
      <w:pPr>
        <w:spacing w:after="0" w:line="240" w:lineRule="auto"/>
        <w:ind w:left="360" w:hanging="360"/>
        <w:rPr>
          <w:rFonts w:ascii="Times New Roman" w:hAnsi="Times New Roman" w:cs="Times New Roman"/>
        </w:rPr>
      </w:pPr>
      <w:proofErr w:type="spellStart"/>
      <w:r w:rsidRPr="00586237">
        <w:rPr>
          <w:rFonts w:ascii="Times New Roman" w:hAnsi="Times New Roman" w:cs="Times New Roman"/>
        </w:rPr>
        <w:t>Zucman</w:t>
      </w:r>
      <w:proofErr w:type="spellEnd"/>
      <w:r w:rsidRPr="00586237">
        <w:rPr>
          <w:rFonts w:ascii="Times New Roman" w:hAnsi="Times New Roman" w:cs="Times New Roman"/>
        </w:rPr>
        <w:t xml:space="preserve">, Gabriel. 2014. “Taxing Across Borders: Personal Wealth and Corporate Profits,” </w:t>
      </w:r>
      <w:r w:rsidRPr="00586237">
        <w:rPr>
          <w:rFonts w:ascii="Times New Roman" w:hAnsi="Times New Roman" w:cs="Times New Roman"/>
          <w:i/>
        </w:rPr>
        <w:t>Journal of Economic Perspectives</w:t>
      </w:r>
      <w:r w:rsidRPr="00586237">
        <w:rPr>
          <w:rFonts w:ascii="Times New Roman" w:hAnsi="Times New Roman" w:cs="Times New Roman"/>
        </w:rPr>
        <w:t xml:space="preserve"> 28.4: 21-48.</w:t>
      </w:r>
    </w:p>
    <w:p w14:paraId="177CD35E" w14:textId="77777777" w:rsidR="009A64D3" w:rsidRDefault="00883AB1" w:rsidP="00117236">
      <w:pPr>
        <w:spacing w:line="240" w:lineRule="auto"/>
        <w:rPr>
          <w:rFonts w:ascii="Times New Roman" w:hAnsi="Times New Roman" w:cs="Times New Roman"/>
        </w:rPr>
      </w:pPr>
      <w:r w:rsidRPr="00586237">
        <w:rPr>
          <w:rFonts w:ascii="Times New Roman" w:hAnsi="Times New Roman" w:cs="Times New Roman"/>
        </w:rPr>
        <w:br w:type="page"/>
      </w:r>
    </w:p>
    <w:p w14:paraId="2AC569A8" w14:textId="77777777" w:rsidR="00883AB1" w:rsidRPr="00957DB0" w:rsidRDefault="00957DB0" w:rsidP="00957DB0">
      <w:pPr>
        <w:spacing w:line="240" w:lineRule="auto"/>
        <w:rPr>
          <w:rFonts w:ascii="Times New Roman" w:hAnsi="Times New Roman" w:cs="Times New Roman"/>
          <w:b/>
        </w:rPr>
      </w:pPr>
      <w:r w:rsidRPr="00957DB0">
        <w:rPr>
          <w:rFonts w:ascii="Times New Roman" w:hAnsi="Times New Roman" w:cs="Times New Roman"/>
          <w:b/>
        </w:rPr>
        <w:lastRenderedPageBreak/>
        <w:t>Figure 1: The Correlation between Poverty and Foreign Investment Flows</w:t>
      </w:r>
    </w:p>
    <w:p w14:paraId="727327D2" w14:textId="77777777" w:rsidR="00056766" w:rsidRPr="00586237" w:rsidRDefault="00883AB1">
      <w:pPr>
        <w:rPr>
          <w:rFonts w:ascii="Times New Roman" w:hAnsi="Times New Roman" w:cs="Times New Roman"/>
        </w:rPr>
      </w:pPr>
      <w:r w:rsidRPr="00586237">
        <w:rPr>
          <w:rFonts w:ascii="Times New Roman" w:hAnsi="Times New Roman" w:cs="Times New Roman"/>
          <w:noProof/>
        </w:rPr>
        <w:drawing>
          <wp:inline distT="0" distB="0" distL="0" distR="0" wp14:anchorId="11333996" wp14:editId="7534D88D">
            <wp:extent cx="5943600" cy="435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356100"/>
                    </a:xfrm>
                    <a:prstGeom prst="rect">
                      <a:avLst/>
                    </a:prstGeom>
                    <a:noFill/>
                    <a:ln>
                      <a:noFill/>
                    </a:ln>
                    <a:effectLst/>
                    <a:extLst/>
                  </pic:spPr>
                </pic:pic>
              </a:graphicData>
            </a:graphic>
          </wp:inline>
        </w:drawing>
      </w:r>
    </w:p>
    <w:p w14:paraId="46CBA2AB" w14:textId="77777777" w:rsidR="00A10A58" w:rsidRPr="00586237" w:rsidRDefault="00A10A58">
      <w:pPr>
        <w:rPr>
          <w:rFonts w:ascii="Times New Roman" w:hAnsi="Times New Roman" w:cs="Times New Roman"/>
        </w:rPr>
      </w:pPr>
    </w:p>
    <w:p w14:paraId="0D2C4BDF" w14:textId="77777777" w:rsidR="00957DB0" w:rsidRPr="00957DB0" w:rsidRDefault="00A10A58" w:rsidP="00957DB0">
      <w:pPr>
        <w:spacing w:line="240" w:lineRule="auto"/>
        <w:rPr>
          <w:rFonts w:ascii="Times New Roman" w:hAnsi="Times New Roman" w:cs="Times New Roman"/>
          <w:b/>
        </w:rPr>
      </w:pPr>
      <w:r w:rsidRPr="00586237">
        <w:rPr>
          <w:rFonts w:ascii="Times New Roman" w:hAnsi="Times New Roman" w:cs="Times New Roman"/>
        </w:rPr>
        <w:br w:type="page"/>
      </w:r>
      <w:r w:rsidR="00957DB0" w:rsidRPr="00957DB0">
        <w:rPr>
          <w:rFonts w:ascii="Times New Roman" w:hAnsi="Times New Roman" w:cs="Times New Roman"/>
          <w:b/>
        </w:rPr>
        <w:lastRenderedPageBreak/>
        <w:t>F</w:t>
      </w:r>
      <w:r w:rsidR="00957DB0">
        <w:rPr>
          <w:rFonts w:ascii="Times New Roman" w:hAnsi="Times New Roman" w:cs="Times New Roman"/>
          <w:b/>
        </w:rPr>
        <w:t>igure 2</w:t>
      </w:r>
      <w:r w:rsidR="00957DB0" w:rsidRPr="00957DB0">
        <w:rPr>
          <w:rFonts w:ascii="Times New Roman" w:hAnsi="Times New Roman" w:cs="Times New Roman"/>
          <w:b/>
        </w:rPr>
        <w:t xml:space="preserve">: </w:t>
      </w:r>
      <w:r w:rsidR="00957DB0">
        <w:rPr>
          <w:rFonts w:ascii="Times New Roman" w:hAnsi="Times New Roman" w:cs="Times New Roman"/>
          <w:b/>
        </w:rPr>
        <w:t>Main Forms of Transfer Pricing</w:t>
      </w:r>
    </w:p>
    <w:p w14:paraId="77676401" w14:textId="77777777" w:rsidR="00A10A58" w:rsidRPr="00586237" w:rsidRDefault="00A10A58">
      <w:pPr>
        <w:rPr>
          <w:rFonts w:ascii="Times New Roman" w:hAnsi="Times New Roman" w:cs="Times New Roman"/>
        </w:rPr>
      </w:pPr>
    </w:p>
    <w:p w14:paraId="54746AD4" w14:textId="77777777" w:rsidR="00A10A58" w:rsidRPr="00586237" w:rsidRDefault="00A10A58">
      <w:pPr>
        <w:rPr>
          <w:rFonts w:ascii="Times New Roman" w:hAnsi="Times New Roman" w:cs="Times New Roman"/>
        </w:rPr>
      </w:pPr>
      <w:r w:rsidRPr="00586237">
        <w:rPr>
          <w:rFonts w:ascii="Times New Roman" w:hAnsi="Times New Roman" w:cs="Times New Roman"/>
          <w:noProof/>
        </w:rPr>
        <w:drawing>
          <wp:inline distT="0" distB="0" distL="0" distR="0" wp14:anchorId="076487BF" wp14:editId="36B85ADE">
            <wp:extent cx="5405597" cy="3028556"/>
            <wp:effectExtent l="0" t="0" r="508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9787" cy="3030903"/>
                    </a:xfrm>
                    <a:prstGeom prst="rect">
                      <a:avLst/>
                    </a:prstGeom>
                    <a:noFill/>
                    <a:ln>
                      <a:noFill/>
                    </a:ln>
                  </pic:spPr>
                </pic:pic>
              </a:graphicData>
            </a:graphic>
          </wp:inline>
        </w:drawing>
      </w:r>
    </w:p>
    <w:sectPr w:rsidR="00A10A58" w:rsidRPr="00586237" w:rsidSect="00233C7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4B259" w14:textId="77777777" w:rsidR="009446BD" w:rsidRDefault="009446BD" w:rsidP="00C04DBE">
      <w:pPr>
        <w:spacing w:after="0" w:line="240" w:lineRule="auto"/>
      </w:pPr>
      <w:r>
        <w:separator/>
      </w:r>
    </w:p>
  </w:endnote>
  <w:endnote w:type="continuationSeparator" w:id="0">
    <w:p w14:paraId="55140E9C" w14:textId="77777777" w:rsidR="009446BD" w:rsidRDefault="009446BD" w:rsidP="00C04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
    <w:altName w:val="DI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0907318"/>
      <w:docPartObj>
        <w:docPartGallery w:val="Page Numbers (Bottom of Page)"/>
        <w:docPartUnique/>
      </w:docPartObj>
    </w:sdtPr>
    <w:sdtEndPr>
      <w:rPr>
        <w:noProof/>
      </w:rPr>
    </w:sdtEndPr>
    <w:sdtContent>
      <w:p w14:paraId="66C66E91" w14:textId="77777777" w:rsidR="00233C7E" w:rsidRDefault="00233C7E">
        <w:pPr>
          <w:pStyle w:val="Footer"/>
          <w:jc w:val="right"/>
        </w:pPr>
        <w:r>
          <w:fldChar w:fldCharType="begin"/>
        </w:r>
        <w:r>
          <w:instrText xml:space="preserve"> PAGE   \* MERGEFORMAT </w:instrText>
        </w:r>
        <w:r>
          <w:fldChar w:fldCharType="separate"/>
        </w:r>
        <w:r w:rsidR="00381D9A">
          <w:rPr>
            <w:noProof/>
          </w:rPr>
          <w:t>11</w:t>
        </w:r>
        <w:r>
          <w:rPr>
            <w:noProof/>
          </w:rPr>
          <w:fldChar w:fldCharType="end"/>
        </w:r>
      </w:p>
    </w:sdtContent>
  </w:sdt>
  <w:p w14:paraId="658CA962" w14:textId="77777777" w:rsidR="00233C7E" w:rsidRDefault="00233C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2BE21" w14:textId="77777777" w:rsidR="009446BD" w:rsidRDefault="009446BD" w:rsidP="00C04DBE">
      <w:pPr>
        <w:spacing w:after="0" w:line="240" w:lineRule="auto"/>
      </w:pPr>
      <w:r>
        <w:separator/>
      </w:r>
    </w:p>
  </w:footnote>
  <w:footnote w:type="continuationSeparator" w:id="0">
    <w:p w14:paraId="265630CF" w14:textId="77777777" w:rsidR="009446BD" w:rsidRDefault="009446BD" w:rsidP="00C04DBE">
      <w:pPr>
        <w:spacing w:after="0" w:line="240" w:lineRule="auto"/>
      </w:pPr>
      <w:r>
        <w:continuationSeparator/>
      </w:r>
    </w:p>
  </w:footnote>
  <w:footnote w:id="1">
    <w:p w14:paraId="47C023B8" w14:textId="77777777" w:rsidR="00A62812" w:rsidRPr="00486A24" w:rsidRDefault="00A62812">
      <w:pPr>
        <w:pStyle w:val="FootnoteText"/>
        <w:rPr>
          <w:rFonts w:ascii="Times New Roman" w:hAnsi="Times New Roman" w:cs="Times New Roman"/>
          <w:sz w:val="18"/>
          <w:szCs w:val="18"/>
        </w:rPr>
      </w:pPr>
      <w:r w:rsidRPr="00486A24">
        <w:rPr>
          <w:rStyle w:val="FootnoteReference"/>
          <w:rFonts w:ascii="Times New Roman" w:hAnsi="Times New Roman" w:cs="Times New Roman"/>
          <w:sz w:val="18"/>
          <w:szCs w:val="18"/>
        </w:rPr>
        <w:footnoteRef/>
      </w:r>
      <w:r w:rsidRPr="00486A24">
        <w:rPr>
          <w:rFonts w:ascii="Times New Roman" w:hAnsi="Times New Roman" w:cs="Times New Roman"/>
          <w:sz w:val="18"/>
          <w:szCs w:val="18"/>
        </w:rPr>
        <w:t xml:space="preserve"> A smart exception is Findley et al. 2014, which studies the formation of shell companies which play a big role in the process.</w:t>
      </w:r>
    </w:p>
  </w:footnote>
  <w:footnote w:id="2">
    <w:p w14:paraId="31271C7E" w14:textId="77777777" w:rsidR="00233C7E" w:rsidRPr="00486A24" w:rsidRDefault="00233C7E" w:rsidP="000243E2">
      <w:pPr>
        <w:pStyle w:val="FootnoteText"/>
        <w:rPr>
          <w:rFonts w:ascii="Times New Roman" w:hAnsi="Times New Roman" w:cs="Times New Roman"/>
          <w:sz w:val="18"/>
          <w:szCs w:val="18"/>
        </w:rPr>
      </w:pPr>
      <w:r w:rsidRPr="00486A24">
        <w:rPr>
          <w:rStyle w:val="FootnoteReference"/>
          <w:rFonts w:ascii="Times New Roman" w:hAnsi="Times New Roman" w:cs="Times New Roman"/>
          <w:sz w:val="18"/>
          <w:szCs w:val="18"/>
        </w:rPr>
        <w:footnoteRef/>
      </w:r>
      <w:r w:rsidRPr="00486A24">
        <w:rPr>
          <w:rFonts w:ascii="Times New Roman" w:hAnsi="Times New Roman" w:cs="Times New Roman"/>
          <w:sz w:val="18"/>
          <w:szCs w:val="18"/>
        </w:rPr>
        <w:t xml:space="preserve"> http://www.businessdictionary.com/</w:t>
      </w:r>
    </w:p>
  </w:footnote>
  <w:footnote w:id="3">
    <w:p w14:paraId="447CCEA9" w14:textId="77777777" w:rsidR="00233C7E" w:rsidRPr="00486A24" w:rsidRDefault="00233C7E">
      <w:pPr>
        <w:pStyle w:val="FootnoteText"/>
        <w:rPr>
          <w:rFonts w:ascii="Times New Roman" w:hAnsi="Times New Roman" w:cs="Times New Roman"/>
          <w:sz w:val="18"/>
          <w:szCs w:val="18"/>
        </w:rPr>
      </w:pPr>
      <w:r w:rsidRPr="00486A24">
        <w:rPr>
          <w:rStyle w:val="FootnoteReference"/>
          <w:rFonts w:ascii="Times New Roman" w:hAnsi="Times New Roman" w:cs="Times New Roman"/>
          <w:sz w:val="18"/>
          <w:szCs w:val="18"/>
        </w:rPr>
        <w:footnoteRef/>
      </w:r>
      <w:r w:rsidRPr="00486A24">
        <w:rPr>
          <w:rFonts w:ascii="Times New Roman" w:hAnsi="Times New Roman" w:cs="Times New Roman"/>
          <w:sz w:val="18"/>
          <w:szCs w:val="18"/>
        </w:rPr>
        <w:t xml:space="preserve"> Using a different methodology, </w:t>
      </w:r>
      <w:proofErr w:type="spellStart"/>
      <w:r w:rsidRPr="00486A24">
        <w:rPr>
          <w:rFonts w:ascii="Times New Roman" w:hAnsi="Times New Roman" w:cs="Times New Roman"/>
          <w:sz w:val="18"/>
          <w:szCs w:val="18"/>
        </w:rPr>
        <w:t>Zuchman</w:t>
      </w:r>
      <w:proofErr w:type="spellEnd"/>
      <w:r w:rsidRPr="00486A24">
        <w:rPr>
          <w:rFonts w:ascii="Times New Roman" w:hAnsi="Times New Roman" w:cs="Times New Roman"/>
          <w:sz w:val="18"/>
          <w:szCs w:val="18"/>
        </w:rPr>
        <w:t xml:space="preserve"> (2014) concludes that 55% of corporate profits from US firms are earned in just six havens ( Netherlands, Bermuda, Luxembourg, Ireland, Singapore, and Switzerland)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A4F95"/>
    <w:multiLevelType w:val="multilevel"/>
    <w:tmpl w:val="BE50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26C4F"/>
    <w:multiLevelType w:val="multilevel"/>
    <w:tmpl w:val="A8EE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4F2030"/>
    <w:multiLevelType w:val="hybridMultilevel"/>
    <w:tmpl w:val="0B2C11CA"/>
    <w:lvl w:ilvl="0" w:tplc="BF4C4EF0">
      <w:start w:val="1"/>
      <w:numFmt w:val="bullet"/>
      <w:lvlText w:val="•"/>
      <w:lvlJc w:val="left"/>
      <w:pPr>
        <w:tabs>
          <w:tab w:val="num" w:pos="720"/>
        </w:tabs>
        <w:ind w:left="720" w:hanging="360"/>
      </w:pPr>
      <w:rPr>
        <w:rFonts w:ascii="Arial" w:hAnsi="Arial" w:hint="default"/>
      </w:rPr>
    </w:lvl>
    <w:lvl w:ilvl="1" w:tplc="9EA8177E" w:tentative="1">
      <w:start w:val="1"/>
      <w:numFmt w:val="bullet"/>
      <w:lvlText w:val="•"/>
      <w:lvlJc w:val="left"/>
      <w:pPr>
        <w:tabs>
          <w:tab w:val="num" w:pos="1440"/>
        </w:tabs>
        <w:ind w:left="1440" w:hanging="360"/>
      </w:pPr>
      <w:rPr>
        <w:rFonts w:ascii="Arial" w:hAnsi="Arial" w:hint="default"/>
      </w:rPr>
    </w:lvl>
    <w:lvl w:ilvl="2" w:tplc="BADE63D8" w:tentative="1">
      <w:start w:val="1"/>
      <w:numFmt w:val="bullet"/>
      <w:lvlText w:val="•"/>
      <w:lvlJc w:val="left"/>
      <w:pPr>
        <w:tabs>
          <w:tab w:val="num" w:pos="2160"/>
        </w:tabs>
        <w:ind w:left="2160" w:hanging="360"/>
      </w:pPr>
      <w:rPr>
        <w:rFonts w:ascii="Arial" w:hAnsi="Arial" w:hint="default"/>
      </w:rPr>
    </w:lvl>
    <w:lvl w:ilvl="3" w:tplc="BA1E83FA" w:tentative="1">
      <w:start w:val="1"/>
      <w:numFmt w:val="bullet"/>
      <w:lvlText w:val="•"/>
      <w:lvlJc w:val="left"/>
      <w:pPr>
        <w:tabs>
          <w:tab w:val="num" w:pos="2880"/>
        </w:tabs>
        <w:ind w:left="2880" w:hanging="360"/>
      </w:pPr>
      <w:rPr>
        <w:rFonts w:ascii="Arial" w:hAnsi="Arial" w:hint="default"/>
      </w:rPr>
    </w:lvl>
    <w:lvl w:ilvl="4" w:tplc="B7D60E8C" w:tentative="1">
      <w:start w:val="1"/>
      <w:numFmt w:val="bullet"/>
      <w:lvlText w:val="•"/>
      <w:lvlJc w:val="left"/>
      <w:pPr>
        <w:tabs>
          <w:tab w:val="num" w:pos="3600"/>
        </w:tabs>
        <w:ind w:left="3600" w:hanging="360"/>
      </w:pPr>
      <w:rPr>
        <w:rFonts w:ascii="Arial" w:hAnsi="Arial" w:hint="default"/>
      </w:rPr>
    </w:lvl>
    <w:lvl w:ilvl="5" w:tplc="85A8220E" w:tentative="1">
      <w:start w:val="1"/>
      <w:numFmt w:val="bullet"/>
      <w:lvlText w:val="•"/>
      <w:lvlJc w:val="left"/>
      <w:pPr>
        <w:tabs>
          <w:tab w:val="num" w:pos="4320"/>
        </w:tabs>
        <w:ind w:left="4320" w:hanging="360"/>
      </w:pPr>
      <w:rPr>
        <w:rFonts w:ascii="Arial" w:hAnsi="Arial" w:hint="default"/>
      </w:rPr>
    </w:lvl>
    <w:lvl w:ilvl="6" w:tplc="BE7C3166" w:tentative="1">
      <w:start w:val="1"/>
      <w:numFmt w:val="bullet"/>
      <w:lvlText w:val="•"/>
      <w:lvlJc w:val="left"/>
      <w:pPr>
        <w:tabs>
          <w:tab w:val="num" w:pos="5040"/>
        </w:tabs>
        <w:ind w:left="5040" w:hanging="360"/>
      </w:pPr>
      <w:rPr>
        <w:rFonts w:ascii="Arial" w:hAnsi="Arial" w:hint="default"/>
      </w:rPr>
    </w:lvl>
    <w:lvl w:ilvl="7" w:tplc="69A45358" w:tentative="1">
      <w:start w:val="1"/>
      <w:numFmt w:val="bullet"/>
      <w:lvlText w:val="•"/>
      <w:lvlJc w:val="left"/>
      <w:pPr>
        <w:tabs>
          <w:tab w:val="num" w:pos="5760"/>
        </w:tabs>
        <w:ind w:left="5760" w:hanging="360"/>
      </w:pPr>
      <w:rPr>
        <w:rFonts w:ascii="Arial" w:hAnsi="Arial" w:hint="default"/>
      </w:rPr>
    </w:lvl>
    <w:lvl w:ilvl="8" w:tplc="E8826AF6" w:tentative="1">
      <w:start w:val="1"/>
      <w:numFmt w:val="bullet"/>
      <w:lvlText w:val="•"/>
      <w:lvlJc w:val="left"/>
      <w:pPr>
        <w:tabs>
          <w:tab w:val="num" w:pos="6480"/>
        </w:tabs>
        <w:ind w:left="6480" w:hanging="360"/>
      </w:pPr>
      <w:rPr>
        <w:rFonts w:ascii="Arial" w:hAnsi="Arial" w:hint="default"/>
      </w:rPr>
    </w:lvl>
  </w:abstractNum>
  <w:abstractNum w:abstractNumId="3">
    <w:nsid w:val="5ACD3498"/>
    <w:multiLevelType w:val="multilevel"/>
    <w:tmpl w:val="D3F4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A84AF5"/>
    <w:multiLevelType w:val="hybridMultilevel"/>
    <w:tmpl w:val="BB843724"/>
    <w:lvl w:ilvl="0" w:tplc="E09A2C78">
      <w:start w:val="1"/>
      <w:numFmt w:val="bullet"/>
      <w:lvlText w:val="•"/>
      <w:lvlJc w:val="left"/>
      <w:pPr>
        <w:tabs>
          <w:tab w:val="num" w:pos="720"/>
        </w:tabs>
        <w:ind w:left="720" w:hanging="360"/>
      </w:pPr>
      <w:rPr>
        <w:rFonts w:ascii="Arial" w:hAnsi="Arial" w:hint="default"/>
      </w:rPr>
    </w:lvl>
    <w:lvl w:ilvl="1" w:tplc="485C4414" w:tentative="1">
      <w:start w:val="1"/>
      <w:numFmt w:val="bullet"/>
      <w:lvlText w:val="•"/>
      <w:lvlJc w:val="left"/>
      <w:pPr>
        <w:tabs>
          <w:tab w:val="num" w:pos="1440"/>
        </w:tabs>
        <w:ind w:left="1440" w:hanging="360"/>
      </w:pPr>
      <w:rPr>
        <w:rFonts w:ascii="Arial" w:hAnsi="Arial" w:hint="default"/>
      </w:rPr>
    </w:lvl>
    <w:lvl w:ilvl="2" w:tplc="07F0CE52" w:tentative="1">
      <w:start w:val="1"/>
      <w:numFmt w:val="bullet"/>
      <w:lvlText w:val="•"/>
      <w:lvlJc w:val="left"/>
      <w:pPr>
        <w:tabs>
          <w:tab w:val="num" w:pos="2160"/>
        </w:tabs>
        <w:ind w:left="2160" w:hanging="360"/>
      </w:pPr>
      <w:rPr>
        <w:rFonts w:ascii="Arial" w:hAnsi="Arial" w:hint="default"/>
      </w:rPr>
    </w:lvl>
    <w:lvl w:ilvl="3" w:tplc="B96C1C24" w:tentative="1">
      <w:start w:val="1"/>
      <w:numFmt w:val="bullet"/>
      <w:lvlText w:val="•"/>
      <w:lvlJc w:val="left"/>
      <w:pPr>
        <w:tabs>
          <w:tab w:val="num" w:pos="2880"/>
        </w:tabs>
        <w:ind w:left="2880" w:hanging="360"/>
      </w:pPr>
      <w:rPr>
        <w:rFonts w:ascii="Arial" w:hAnsi="Arial" w:hint="default"/>
      </w:rPr>
    </w:lvl>
    <w:lvl w:ilvl="4" w:tplc="DB50184C" w:tentative="1">
      <w:start w:val="1"/>
      <w:numFmt w:val="bullet"/>
      <w:lvlText w:val="•"/>
      <w:lvlJc w:val="left"/>
      <w:pPr>
        <w:tabs>
          <w:tab w:val="num" w:pos="3600"/>
        </w:tabs>
        <w:ind w:left="3600" w:hanging="360"/>
      </w:pPr>
      <w:rPr>
        <w:rFonts w:ascii="Arial" w:hAnsi="Arial" w:hint="default"/>
      </w:rPr>
    </w:lvl>
    <w:lvl w:ilvl="5" w:tplc="6798C052" w:tentative="1">
      <w:start w:val="1"/>
      <w:numFmt w:val="bullet"/>
      <w:lvlText w:val="•"/>
      <w:lvlJc w:val="left"/>
      <w:pPr>
        <w:tabs>
          <w:tab w:val="num" w:pos="4320"/>
        </w:tabs>
        <w:ind w:left="4320" w:hanging="360"/>
      </w:pPr>
      <w:rPr>
        <w:rFonts w:ascii="Arial" w:hAnsi="Arial" w:hint="default"/>
      </w:rPr>
    </w:lvl>
    <w:lvl w:ilvl="6" w:tplc="A9025BD0" w:tentative="1">
      <w:start w:val="1"/>
      <w:numFmt w:val="bullet"/>
      <w:lvlText w:val="•"/>
      <w:lvlJc w:val="left"/>
      <w:pPr>
        <w:tabs>
          <w:tab w:val="num" w:pos="5040"/>
        </w:tabs>
        <w:ind w:left="5040" w:hanging="360"/>
      </w:pPr>
      <w:rPr>
        <w:rFonts w:ascii="Arial" w:hAnsi="Arial" w:hint="default"/>
      </w:rPr>
    </w:lvl>
    <w:lvl w:ilvl="7" w:tplc="A92EC040" w:tentative="1">
      <w:start w:val="1"/>
      <w:numFmt w:val="bullet"/>
      <w:lvlText w:val="•"/>
      <w:lvlJc w:val="left"/>
      <w:pPr>
        <w:tabs>
          <w:tab w:val="num" w:pos="5760"/>
        </w:tabs>
        <w:ind w:left="5760" w:hanging="360"/>
      </w:pPr>
      <w:rPr>
        <w:rFonts w:ascii="Arial" w:hAnsi="Arial" w:hint="default"/>
      </w:rPr>
    </w:lvl>
    <w:lvl w:ilvl="8" w:tplc="DEE8F82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DBE"/>
    <w:rsid w:val="000243E2"/>
    <w:rsid w:val="00056766"/>
    <w:rsid w:val="00083D66"/>
    <w:rsid w:val="00091A88"/>
    <w:rsid w:val="000A281F"/>
    <w:rsid w:val="000F063F"/>
    <w:rsid w:val="000F6E88"/>
    <w:rsid w:val="00104A35"/>
    <w:rsid w:val="00111475"/>
    <w:rsid w:val="001125D0"/>
    <w:rsid w:val="00117236"/>
    <w:rsid w:val="00184F5D"/>
    <w:rsid w:val="001B4381"/>
    <w:rsid w:val="001D7369"/>
    <w:rsid w:val="001F35FF"/>
    <w:rsid w:val="00216354"/>
    <w:rsid w:val="00233C7E"/>
    <w:rsid w:val="002D0CC5"/>
    <w:rsid w:val="002D6C0D"/>
    <w:rsid w:val="002E07D0"/>
    <w:rsid w:val="002E2BD2"/>
    <w:rsid w:val="002F73B8"/>
    <w:rsid w:val="0034333C"/>
    <w:rsid w:val="00381D9A"/>
    <w:rsid w:val="003973D7"/>
    <w:rsid w:val="003A31C8"/>
    <w:rsid w:val="003B6DC5"/>
    <w:rsid w:val="003B7FA1"/>
    <w:rsid w:val="003F49B7"/>
    <w:rsid w:val="00455810"/>
    <w:rsid w:val="00486A24"/>
    <w:rsid w:val="00497B48"/>
    <w:rsid w:val="004B50F0"/>
    <w:rsid w:val="004C42C2"/>
    <w:rsid w:val="004E77AC"/>
    <w:rsid w:val="0052016F"/>
    <w:rsid w:val="00567C9F"/>
    <w:rsid w:val="00573BDD"/>
    <w:rsid w:val="00586237"/>
    <w:rsid w:val="005910F2"/>
    <w:rsid w:val="0060671B"/>
    <w:rsid w:val="006E5B1F"/>
    <w:rsid w:val="006F0C78"/>
    <w:rsid w:val="00714965"/>
    <w:rsid w:val="0076361C"/>
    <w:rsid w:val="00866AD0"/>
    <w:rsid w:val="00867273"/>
    <w:rsid w:val="00883AB1"/>
    <w:rsid w:val="00900D29"/>
    <w:rsid w:val="00902E6D"/>
    <w:rsid w:val="00911F36"/>
    <w:rsid w:val="00912637"/>
    <w:rsid w:val="009446BD"/>
    <w:rsid w:val="00957DB0"/>
    <w:rsid w:val="0096664A"/>
    <w:rsid w:val="00992A0B"/>
    <w:rsid w:val="00997A9E"/>
    <w:rsid w:val="009A64D3"/>
    <w:rsid w:val="009F194F"/>
    <w:rsid w:val="00A10A58"/>
    <w:rsid w:val="00A10FB9"/>
    <w:rsid w:val="00A3504F"/>
    <w:rsid w:val="00A62812"/>
    <w:rsid w:val="00AC039B"/>
    <w:rsid w:val="00B41A9F"/>
    <w:rsid w:val="00B71E6B"/>
    <w:rsid w:val="00B879CD"/>
    <w:rsid w:val="00BD3C11"/>
    <w:rsid w:val="00C04DBE"/>
    <w:rsid w:val="00C873F2"/>
    <w:rsid w:val="00CF525F"/>
    <w:rsid w:val="00D35106"/>
    <w:rsid w:val="00D37320"/>
    <w:rsid w:val="00D45EE1"/>
    <w:rsid w:val="00DC5855"/>
    <w:rsid w:val="00DE72F8"/>
    <w:rsid w:val="00E07BF1"/>
    <w:rsid w:val="00E12CA5"/>
    <w:rsid w:val="00E94DA4"/>
    <w:rsid w:val="00EB258E"/>
    <w:rsid w:val="00EC0B4A"/>
    <w:rsid w:val="00ED3A7B"/>
    <w:rsid w:val="00EF3A4B"/>
    <w:rsid w:val="00F07802"/>
    <w:rsid w:val="00F21BA2"/>
    <w:rsid w:val="00F26FB3"/>
    <w:rsid w:val="00F57120"/>
    <w:rsid w:val="00F66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B3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DBE"/>
  </w:style>
  <w:style w:type="paragraph" w:styleId="Heading1">
    <w:name w:val="heading 1"/>
    <w:basedOn w:val="Normal"/>
    <w:link w:val="Heading1Char"/>
    <w:uiPriority w:val="9"/>
    <w:qFormat/>
    <w:rsid w:val="000F6E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 Char,fn,single space,FOOTNOTES,Footnote Text Char1,Footnote Text Char Char,ft"/>
    <w:basedOn w:val="Normal"/>
    <w:link w:val="FootnoteTextChar"/>
    <w:uiPriority w:val="99"/>
    <w:unhideWhenUsed/>
    <w:rsid w:val="00C04DBE"/>
    <w:pPr>
      <w:spacing w:after="0" w:line="240" w:lineRule="auto"/>
    </w:pPr>
    <w:rPr>
      <w:sz w:val="20"/>
      <w:szCs w:val="20"/>
    </w:rPr>
  </w:style>
  <w:style w:type="character" w:customStyle="1" w:styleId="FootnoteTextChar">
    <w:name w:val="Footnote Text Char"/>
    <w:aliases w:val="Footnote Text Char Char Char Char Char Char Char,fn Char,single space Char,FOOTNOTES Char,Footnote Text Char1 Char,Footnote Text Char Char Char,ft Char"/>
    <w:basedOn w:val="DefaultParagraphFont"/>
    <w:link w:val="FootnoteText"/>
    <w:uiPriority w:val="99"/>
    <w:rsid w:val="00C04DBE"/>
    <w:rPr>
      <w:sz w:val="20"/>
      <w:szCs w:val="20"/>
    </w:rPr>
  </w:style>
  <w:style w:type="character" w:styleId="FootnoteReference">
    <w:name w:val="footnote reference"/>
    <w:basedOn w:val="DefaultParagraphFont"/>
    <w:uiPriority w:val="99"/>
    <w:unhideWhenUsed/>
    <w:rsid w:val="00C04DBE"/>
    <w:rPr>
      <w:vertAlign w:val="superscript"/>
    </w:rPr>
  </w:style>
  <w:style w:type="paragraph" w:styleId="Footer">
    <w:name w:val="footer"/>
    <w:basedOn w:val="Normal"/>
    <w:link w:val="FooterChar"/>
    <w:uiPriority w:val="99"/>
    <w:unhideWhenUsed/>
    <w:rsid w:val="00C04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DBE"/>
  </w:style>
  <w:style w:type="character" w:styleId="Hyperlink">
    <w:name w:val="Hyperlink"/>
    <w:basedOn w:val="DefaultParagraphFont"/>
    <w:uiPriority w:val="99"/>
    <w:unhideWhenUsed/>
    <w:rsid w:val="00C04DBE"/>
    <w:rPr>
      <w:color w:val="0000FF" w:themeColor="hyperlink"/>
      <w:u w:val="single"/>
    </w:rPr>
  </w:style>
  <w:style w:type="paragraph" w:customStyle="1" w:styleId="Default">
    <w:name w:val="Default"/>
    <w:rsid w:val="00C04DBE"/>
    <w:pPr>
      <w:autoSpaceDE w:val="0"/>
      <w:autoSpaceDN w:val="0"/>
      <w:adjustRightInd w:val="0"/>
      <w:spacing w:after="0" w:line="240" w:lineRule="auto"/>
    </w:pPr>
    <w:rPr>
      <w:rFonts w:ascii="DIN" w:hAnsi="DIN" w:cs="DIN"/>
      <w:color w:val="000000"/>
      <w:sz w:val="24"/>
      <w:szCs w:val="24"/>
    </w:rPr>
  </w:style>
  <w:style w:type="paragraph" w:styleId="BalloonText">
    <w:name w:val="Balloon Text"/>
    <w:basedOn w:val="Normal"/>
    <w:link w:val="BalloonTextChar"/>
    <w:uiPriority w:val="99"/>
    <w:semiHidden/>
    <w:unhideWhenUsed/>
    <w:rsid w:val="00C0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DBE"/>
    <w:rPr>
      <w:rFonts w:ascii="Tahoma" w:hAnsi="Tahoma" w:cs="Tahoma"/>
      <w:sz w:val="16"/>
      <w:szCs w:val="16"/>
    </w:rPr>
  </w:style>
  <w:style w:type="character" w:styleId="CommentReference">
    <w:name w:val="annotation reference"/>
    <w:basedOn w:val="DefaultParagraphFont"/>
    <w:uiPriority w:val="99"/>
    <w:semiHidden/>
    <w:unhideWhenUsed/>
    <w:rsid w:val="000F063F"/>
    <w:rPr>
      <w:sz w:val="16"/>
      <w:szCs w:val="16"/>
    </w:rPr>
  </w:style>
  <w:style w:type="paragraph" w:styleId="CommentText">
    <w:name w:val="annotation text"/>
    <w:basedOn w:val="Normal"/>
    <w:link w:val="CommentTextChar"/>
    <w:uiPriority w:val="99"/>
    <w:semiHidden/>
    <w:unhideWhenUsed/>
    <w:rsid w:val="000F063F"/>
    <w:pPr>
      <w:spacing w:line="240" w:lineRule="auto"/>
    </w:pPr>
    <w:rPr>
      <w:sz w:val="20"/>
      <w:szCs w:val="20"/>
    </w:rPr>
  </w:style>
  <w:style w:type="character" w:customStyle="1" w:styleId="CommentTextChar">
    <w:name w:val="Comment Text Char"/>
    <w:basedOn w:val="DefaultParagraphFont"/>
    <w:link w:val="CommentText"/>
    <w:uiPriority w:val="99"/>
    <w:semiHidden/>
    <w:rsid w:val="000F063F"/>
    <w:rPr>
      <w:sz w:val="20"/>
      <w:szCs w:val="20"/>
    </w:rPr>
  </w:style>
  <w:style w:type="paragraph" w:styleId="ListParagraph">
    <w:name w:val="List Paragraph"/>
    <w:basedOn w:val="Normal"/>
    <w:uiPriority w:val="34"/>
    <w:qFormat/>
    <w:rsid w:val="00C873F2"/>
    <w:pPr>
      <w:ind w:left="720"/>
      <w:contextualSpacing/>
    </w:pPr>
  </w:style>
  <w:style w:type="character" w:customStyle="1" w:styleId="Heading1Char">
    <w:name w:val="Heading 1 Char"/>
    <w:basedOn w:val="DefaultParagraphFont"/>
    <w:link w:val="Heading1"/>
    <w:uiPriority w:val="9"/>
    <w:rsid w:val="000F6E88"/>
    <w:rPr>
      <w:rFonts w:ascii="Times New Roman" w:eastAsia="Times New Roman" w:hAnsi="Times New Roman" w:cs="Times New Roman"/>
      <w:b/>
      <w:bCs/>
      <w:kern w:val="36"/>
      <w:sz w:val="48"/>
      <w:szCs w:val="48"/>
    </w:rPr>
  </w:style>
  <w:style w:type="character" w:customStyle="1" w:styleId="Date1">
    <w:name w:val="Date1"/>
    <w:basedOn w:val="DefaultParagraphFont"/>
    <w:rsid w:val="000F6E88"/>
  </w:style>
  <w:style w:type="paragraph" w:customStyle="1" w:styleId="txt-head">
    <w:name w:val="txt-head"/>
    <w:basedOn w:val="Normal"/>
    <w:rsid w:val="000F6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2637"/>
  </w:style>
  <w:style w:type="character" w:customStyle="1" w:styleId="reference-text">
    <w:name w:val="reference-text"/>
    <w:basedOn w:val="DefaultParagraphFont"/>
    <w:rsid w:val="00912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DBE"/>
  </w:style>
  <w:style w:type="paragraph" w:styleId="Heading1">
    <w:name w:val="heading 1"/>
    <w:basedOn w:val="Normal"/>
    <w:link w:val="Heading1Char"/>
    <w:uiPriority w:val="9"/>
    <w:qFormat/>
    <w:rsid w:val="000F6E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 Char,fn,single space,FOOTNOTES,Footnote Text Char1,Footnote Text Char Char,ft"/>
    <w:basedOn w:val="Normal"/>
    <w:link w:val="FootnoteTextChar"/>
    <w:uiPriority w:val="99"/>
    <w:unhideWhenUsed/>
    <w:rsid w:val="00C04DBE"/>
    <w:pPr>
      <w:spacing w:after="0" w:line="240" w:lineRule="auto"/>
    </w:pPr>
    <w:rPr>
      <w:sz w:val="20"/>
      <w:szCs w:val="20"/>
    </w:rPr>
  </w:style>
  <w:style w:type="character" w:customStyle="1" w:styleId="FootnoteTextChar">
    <w:name w:val="Footnote Text Char"/>
    <w:aliases w:val="Footnote Text Char Char Char Char Char Char Char,fn Char,single space Char,FOOTNOTES Char,Footnote Text Char1 Char,Footnote Text Char Char Char,ft Char"/>
    <w:basedOn w:val="DefaultParagraphFont"/>
    <w:link w:val="FootnoteText"/>
    <w:uiPriority w:val="99"/>
    <w:rsid w:val="00C04DBE"/>
    <w:rPr>
      <w:sz w:val="20"/>
      <w:szCs w:val="20"/>
    </w:rPr>
  </w:style>
  <w:style w:type="character" w:styleId="FootnoteReference">
    <w:name w:val="footnote reference"/>
    <w:basedOn w:val="DefaultParagraphFont"/>
    <w:uiPriority w:val="99"/>
    <w:unhideWhenUsed/>
    <w:rsid w:val="00C04DBE"/>
    <w:rPr>
      <w:vertAlign w:val="superscript"/>
    </w:rPr>
  </w:style>
  <w:style w:type="paragraph" w:styleId="Footer">
    <w:name w:val="footer"/>
    <w:basedOn w:val="Normal"/>
    <w:link w:val="FooterChar"/>
    <w:uiPriority w:val="99"/>
    <w:unhideWhenUsed/>
    <w:rsid w:val="00C04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DBE"/>
  </w:style>
  <w:style w:type="character" w:styleId="Hyperlink">
    <w:name w:val="Hyperlink"/>
    <w:basedOn w:val="DefaultParagraphFont"/>
    <w:uiPriority w:val="99"/>
    <w:unhideWhenUsed/>
    <w:rsid w:val="00C04DBE"/>
    <w:rPr>
      <w:color w:val="0000FF" w:themeColor="hyperlink"/>
      <w:u w:val="single"/>
    </w:rPr>
  </w:style>
  <w:style w:type="paragraph" w:customStyle="1" w:styleId="Default">
    <w:name w:val="Default"/>
    <w:rsid w:val="00C04DBE"/>
    <w:pPr>
      <w:autoSpaceDE w:val="0"/>
      <w:autoSpaceDN w:val="0"/>
      <w:adjustRightInd w:val="0"/>
      <w:spacing w:after="0" w:line="240" w:lineRule="auto"/>
    </w:pPr>
    <w:rPr>
      <w:rFonts w:ascii="DIN" w:hAnsi="DIN" w:cs="DIN"/>
      <w:color w:val="000000"/>
      <w:sz w:val="24"/>
      <w:szCs w:val="24"/>
    </w:rPr>
  </w:style>
  <w:style w:type="paragraph" w:styleId="BalloonText">
    <w:name w:val="Balloon Text"/>
    <w:basedOn w:val="Normal"/>
    <w:link w:val="BalloonTextChar"/>
    <w:uiPriority w:val="99"/>
    <w:semiHidden/>
    <w:unhideWhenUsed/>
    <w:rsid w:val="00C0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DBE"/>
    <w:rPr>
      <w:rFonts w:ascii="Tahoma" w:hAnsi="Tahoma" w:cs="Tahoma"/>
      <w:sz w:val="16"/>
      <w:szCs w:val="16"/>
    </w:rPr>
  </w:style>
  <w:style w:type="character" w:styleId="CommentReference">
    <w:name w:val="annotation reference"/>
    <w:basedOn w:val="DefaultParagraphFont"/>
    <w:uiPriority w:val="99"/>
    <w:semiHidden/>
    <w:unhideWhenUsed/>
    <w:rsid w:val="000F063F"/>
    <w:rPr>
      <w:sz w:val="16"/>
      <w:szCs w:val="16"/>
    </w:rPr>
  </w:style>
  <w:style w:type="paragraph" w:styleId="CommentText">
    <w:name w:val="annotation text"/>
    <w:basedOn w:val="Normal"/>
    <w:link w:val="CommentTextChar"/>
    <w:uiPriority w:val="99"/>
    <w:semiHidden/>
    <w:unhideWhenUsed/>
    <w:rsid w:val="000F063F"/>
    <w:pPr>
      <w:spacing w:line="240" w:lineRule="auto"/>
    </w:pPr>
    <w:rPr>
      <w:sz w:val="20"/>
      <w:szCs w:val="20"/>
    </w:rPr>
  </w:style>
  <w:style w:type="character" w:customStyle="1" w:styleId="CommentTextChar">
    <w:name w:val="Comment Text Char"/>
    <w:basedOn w:val="DefaultParagraphFont"/>
    <w:link w:val="CommentText"/>
    <w:uiPriority w:val="99"/>
    <w:semiHidden/>
    <w:rsid w:val="000F063F"/>
    <w:rPr>
      <w:sz w:val="20"/>
      <w:szCs w:val="20"/>
    </w:rPr>
  </w:style>
  <w:style w:type="paragraph" w:styleId="ListParagraph">
    <w:name w:val="List Paragraph"/>
    <w:basedOn w:val="Normal"/>
    <w:uiPriority w:val="34"/>
    <w:qFormat/>
    <w:rsid w:val="00C873F2"/>
    <w:pPr>
      <w:ind w:left="720"/>
      <w:contextualSpacing/>
    </w:pPr>
  </w:style>
  <w:style w:type="character" w:customStyle="1" w:styleId="Heading1Char">
    <w:name w:val="Heading 1 Char"/>
    <w:basedOn w:val="DefaultParagraphFont"/>
    <w:link w:val="Heading1"/>
    <w:uiPriority w:val="9"/>
    <w:rsid w:val="000F6E88"/>
    <w:rPr>
      <w:rFonts w:ascii="Times New Roman" w:eastAsia="Times New Roman" w:hAnsi="Times New Roman" w:cs="Times New Roman"/>
      <w:b/>
      <w:bCs/>
      <w:kern w:val="36"/>
      <w:sz w:val="48"/>
      <w:szCs w:val="48"/>
    </w:rPr>
  </w:style>
  <w:style w:type="character" w:customStyle="1" w:styleId="Date1">
    <w:name w:val="Date1"/>
    <w:basedOn w:val="DefaultParagraphFont"/>
    <w:rsid w:val="000F6E88"/>
  </w:style>
  <w:style w:type="paragraph" w:customStyle="1" w:styleId="txt-head">
    <w:name w:val="txt-head"/>
    <w:basedOn w:val="Normal"/>
    <w:rsid w:val="000F6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2637"/>
  </w:style>
  <w:style w:type="character" w:customStyle="1" w:styleId="reference-text">
    <w:name w:val="reference-text"/>
    <w:basedOn w:val="DefaultParagraphFont"/>
    <w:rsid w:val="00912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825823">
      <w:bodyDiv w:val="1"/>
      <w:marLeft w:val="0"/>
      <w:marRight w:val="0"/>
      <w:marTop w:val="0"/>
      <w:marBottom w:val="0"/>
      <w:divBdr>
        <w:top w:val="none" w:sz="0" w:space="0" w:color="auto"/>
        <w:left w:val="none" w:sz="0" w:space="0" w:color="auto"/>
        <w:bottom w:val="none" w:sz="0" w:space="0" w:color="auto"/>
        <w:right w:val="none" w:sz="0" w:space="0" w:color="auto"/>
      </w:divBdr>
    </w:div>
    <w:div w:id="912668643">
      <w:bodyDiv w:val="1"/>
      <w:marLeft w:val="0"/>
      <w:marRight w:val="0"/>
      <w:marTop w:val="0"/>
      <w:marBottom w:val="0"/>
      <w:divBdr>
        <w:top w:val="none" w:sz="0" w:space="0" w:color="auto"/>
        <w:left w:val="none" w:sz="0" w:space="0" w:color="auto"/>
        <w:bottom w:val="none" w:sz="0" w:space="0" w:color="auto"/>
        <w:right w:val="none" w:sz="0" w:space="0" w:color="auto"/>
      </w:divBdr>
      <w:divsChild>
        <w:div w:id="599947254">
          <w:marLeft w:val="0"/>
          <w:marRight w:val="0"/>
          <w:marTop w:val="0"/>
          <w:marBottom w:val="0"/>
          <w:divBdr>
            <w:top w:val="none" w:sz="0" w:space="0" w:color="auto"/>
            <w:left w:val="none" w:sz="0" w:space="0" w:color="auto"/>
            <w:bottom w:val="none" w:sz="0" w:space="0" w:color="auto"/>
            <w:right w:val="none" w:sz="0" w:space="0" w:color="auto"/>
          </w:divBdr>
          <w:divsChild>
            <w:div w:id="17075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50824">
      <w:bodyDiv w:val="1"/>
      <w:marLeft w:val="0"/>
      <w:marRight w:val="0"/>
      <w:marTop w:val="0"/>
      <w:marBottom w:val="0"/>
      <w:divBdr>
        <w:top w:val="none" w:sz="0" w:space="0" w:color="auto"/>
        <w:left w:val="none" w:sz="0" w:space="0" w:color="auto"/>
        <w:bottom w:val="none" w:sz="0" w:space="0" w:color="auto"/>
        <w:right w:val="none" w:sz="0" w:space="0" w:color="auto"/>
      </w:divBdr>
      <w:divsChild>
        <w:div w:id="1431508335">
          <w:marLeft w:val="446"/>
          <w:marRight w:val="0"/>
          <w:marTop w:val="96"/>
          <w:marBottom w:val="0"/>
          <w:divBdr>
            <w:top w:val="none" w:sz="0" w:space="0" w:color="auto"/>
            <w:left w:val="none" w:sz="0" w:space="0" w:color="auto"/>
            <w:bottom w:val="none" w:sz="0" w:space="0" w:color="auto"/>
            <w:right w:val="none" w:sz="0" w:space="0" w:color="auto"/>
          </w:divBdr>
        </w:div>
        <w:div w:id="184025360">
          <w:marLeft w:val="446"/>
          <w:marRight w:val="0"/>
          <w:marTop w:val="96"/>
          <w:marBottom w:val="0"/>
          <w:divBdr>
            <w:top w:val="none" w:sz="0" w:space="0" w:color="auto"/>
            <w:left w:val="none" w:sz="0" w:space="0" w:color="auto"/>
            <w:bottom w:val="none" w:sz="0" w:space="0" w:color="auto"/>
            <w:right w:val="none" w:sz="0" w:space="0" w:color="auto"/>
          </w:divBdr>
        </w:div>
        <w:div w:id="1761441128">
          <w:marLeft w:val="446"/>
          <w:marRight w:val="0"/>
          <w:marTop w:val="96"/>
          <w:marBottom w:val="0"/>
          <w:divBdr>
            <w:top w:val="none" w:sz="0" w:space="0" w:color="auto"/>
            <w:left w:val="none" w:sz="0" w:space="0" w:color="auto"/>
            <w:bottom w:val="none" w:sz="0" w:space="0" w:color="auto"/>
            <w:right w:val="none" w:sz="0" w:space="0" w:color="auto"/>
          </w:divBdr>
        </w:div>
        <w:div w:id="153180569">
          <w:marLeft w:val="446"/>
          <w:marRight w:val="0"/>
          <w:marTop w:val="96"/>
          <w:marBottom w:val="0"/>
          <w:divBdr>
            <w:top w:val="none" w:sz="0" w:space="0" w:color="auto"/>
            <w:left w:val="none" w:sz="0" w:space="0" w:color="auto"/>
            <w:bottom w:val="none" w:sz="0" w:space="0" w:color="auto"/>
            <w:right w:val="none" w:sz="0" w:space="0" w:color="auto"/>
          </w:divBdr>
        </w:div>
        <w:div w:id="489100430">
          <w:marLeft w:val="288"/>
          <w:marRight w:val="0"/>
          <w:marTop w:val="96"/>
          <w:marBottom w:val="0"/>
          <w:divBdr>
            <w:top w:val="none" w:sz="0" w:space="0" w:color="auto"/>
            <w:left w:val="none" w:sz="0" w:space="0" w:color="auto"/>
            <w:bottom w:val="none" w:sz="0" w:space="0" w:color="auto"/>
            <w:right w:val="none" w:sz="0" w:space="0" w:color="auto"/>
          </w:divBdr>
        </w:div>
        <w:div w:id="947809547">
          <w:marLeft w:val="288"/>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ctionaid.org.uk" TargetMode="External"/><Relationship Id="rId20" Type="http://schemas.openxmlformats.org/officeDocument/2006/relationships/hyperlink" Target="http://english.vietnamnet.vn/fms/business/73312/vietnamese-boycotting-coca-cola-on-the-suspicion-about-transfer-pricing.html" TargetMode="External"/><Relationship Id="rId21" Type="http://schemas.openxmlformats.org/officeDocument/2006/relationships/image" Target="media/image1.emf"/><Relationship Id="rId22" Type="http://schemas.openxmlformats.org/officeDocument/2006/relationships/image" Target="media/image2.emf"/><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vietnam-briefing.com/news/vietnam-govt-issues-new-transfer-pricing-circular.html/" TargetMode="External"/><Relationship Id="rId11" Type="http://schemas.openxmlformats.org/officeDocument/2006/relationships/hyperlink" Target="http://www.economist.com/news/special-report/21596672-traditional-ways-raising-tax-do-not-work-well-globalised-world-plucking-geese" TargetMode="External"/><Relationship Id="rId12" Type="http://schemas.openxmlformats.org/officeDocument/2006/relationships/hyperlink" Target="http://www.executiveboard.com/blogs/3-risks-with-transfer-pricing-management/" TargetMode="External"/><Relationship Id="rId13" Type="http://schemas.openxmlformats.org/officeDocument/2006/relationships/hyperlink" Target="http://www.kpmg.com/global/en/services/tax/tax-tools-and-resources/pages/tax-rates-online.aspx" TargetMode="External"/><Relationship Id="rId14" Type="http://schemas.openxmlformats.org/officeDocument/2006/relationships/hyperlink" Target="http://www.nytimes.com/2011/03/25/business/economy/25tax.html?ref=butnobodypaysthat&amp;_r=1&amp;" TargetMode="External"/><Relationship Id="rId15" Type="http://schemas.openxmlformats.org/officeDocument/2006/relationships/hyperlink" Target="http://www.pwc.com/internationaltp" TargetMode="External"/><Relationship Id="rId16" Type="http://schemas.openxmlformats.org/officeDocument/2006/relationships/hyperlink" Target="http://www.pwc.com/internationaltp" TargetMode="External"/><Relationship Id="rId17" Type="http://schemas.openxmlformats.org/officeDocument/2006/relationships/hyperlink" Target="http://money.cnn.com/2013/05/22/news/economy/apple-taxes/" TargetMode="External"/><Relationship Id="rId18" Type="http://schemas.openxmlformats.org/officeDocument/2006/relationships/hyperlink" Target="http://english.vietnamnet.vn/fms/business/85800/agencies-seem-powerless-to-prevent-transfer-pricing.html" TargetMode="External"/><Relationship Id="rId19" Type="http://schemas.openxmlformats.org/officeDocument/2006/relationships/hyperlink" Target="http://tuoitrenews.vn/business/10495/we-dont-evade-taxes-cocacola-vice-chie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B4244-2262-4A49-8167-A87DF6AEF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4926</Words>
  <Characters>28067</Characters>
  <Application>Microsoft Macintosh Word</Application>
  <DocSecurity>0</DocSecurity>
  <Lines>393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7Copy</dc:creator>
  <cp:lastModifiedBy>Nita Rudra</cp:lastModifiedBy>
  <cp:revision>3</cp:revision>
  <dcterms:created xsi:type="dcterms:W3CDTF">2015-01-21T00:36:00Z</dcterms:created>
  <dcterms:modified xsi:type="dcterms:W3CDTF">2015-01-21T00:37:00Z</dcterms:modified>
</cp:coreProperties>
</file>