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b/>
          <w:bCs/>
          <w:color w:val="A9853C"/>
          <w:spacing w:val="60"/>
          <w:sz w:val="22"/>
          <w:szCs w:val="22"/>
        </w:rPr>
        <w:t xml:space="preserve">ESTATE SALE CATALOG</w:t>
      </w:r>
    </w:p>
    <w:p>
      <w:pPr>
        <w:spacing w:after="200"/>
        <w:jc w:val="center"/>
      </w:pPr>
      <w:r>
        <w:rPr>
          <w:b/>
          <w:bCs/>
          <w:color w:val="2C3F2F"/>
          <w:sz w:val="56"/>
          <w:szCs w:val="56"/>
        </w:rPr>
        <w:t xml:space="preserve">Code Manual</w:t>
      </w:r>
    </w:p>
    <w:p>
      <w:pPr>
        <w:pBdr>
          <w:bottom w:val="double" w:color="A9853C" w:sz="6" w:space="8"/>
        </w:pBdr>
        <w:spacing w:after="400"/>
        <w:jc w:val="center"/>
      </w:pPr>
      <w:r>
        <w:rPr>
          <w:color w:val="6B675C"/>
          <w:sz w:val="20"/>
          <w:szCs w:val="20"/>
        </w:rPr>
        <w:t xml:space="preserve">Technical reference for developers and future maintenance  •  July 2026</w:t>
      </w:r>
    </w:p>
    <w:p>
      <w:pPr>
        <w:pStyle w:val="Heading1"/>
        <w:spacing w:after="160" w:before="360"/>
      </w:pPr>
      <w:r>
        <w:t xml:space="preserve">1. Architecture</w:t>
      </w:r>
    </w:p>
    <w:p>
      <w:pPr>
        <w:spacing w:after="160"/>
      </w:pPr>
      <w:r>
        <w:rPr>
          <w:sz w:val="22"/>
          <w:szCs w:val="22"/>
        </w:rPr>
        <w:t xml:space="preserve">The site is a fully static, zero-dependency single-page application: one HTML file containing all CSS and JavaScript, one data file, and an images folder. There is no build step, no framework, no backend server, and no database. It runs from any static host (Netlify, cPanel, S3) or directly from the file system.</w:t>
      </w:r>
    </w:p>
    <w:p>
      <w:pPr>
        <w:pStyle w:val="ListParagraph"/>
        <w:numPr>
          <w:ilvl w:val="0"/>
          <w:numId w:val="2"/>
        </w:numPr>
      </w:pPr>
      <w:r>
        <w:rPr>
          <w:b/>
          <w:bCs/>
          <w:sz w:val="22"/>
          <w:szCs w:val="22"/>
        </w:rPr>
        <w:t xml:space="preserve">index.html</w:t>
      </w:r>
      <w:r>
        <w:rPr>
          <w:sz w:val="22"/>
          <w:szCs w:val="22"/>
        </w:rPr>
        <w:t xml:space="preserve"> — layout, styles, and all application logic (~1,100 lines). Vanilla JavaScript, no libraries. Google Fonts is the only external resource loaded at runtime.</w:t>
      </w:r>
    </w:p>
    <w:p>
      <w:pPr>
        <w:pStyle w:val="ListParagraph"/>
        <w:numPr>
          <w:ilvl w:val="0"/>
          <w:numId w:val="2"/>
        </w:numPr>
      </w:pPr>
      <w:r>
        <w:rPr>
          <w:b/>
          <w:bCs/>
          <w:sz w:val="22"/>
          <w:szCs w:val="22"/>
        </w:rPr>
        <w:t xml:space="preserve">items-data.js</w:t>
      </w:r>
      <w:r>
        <w:rPr>
          <w:sz w:val="22"/>
          <w:szCs w:val="22"/>
        </w:rPr>
        <w:t xml:space="preserve"> — declares two globals loaded before the app script: SITE_CONFIG (sale settings) and ITEMS (the item array). This file is the published state; it is regenerated by the in-app export.</w:t>
      </w:r>
    </w:p>
    <w:p>
      <w:pPr>
        <w:pStyle w:val="ListParagraph"/>
        <w:numPr>
          <w:ilvl w:val="0"/>
          <w:numId w:val="2"/>
        </w:numPr>
      </w:pPr>
      <w:r>
        <w:rPr>
          <w:b/>
          <w:bCs/>
          <w:sz w:val="22"/>
          <w:szCs w:val="22"/>
        </w:rPr>
        <w:t xml:space="preserve">images/</w:t>
      </w:r>
      <w:r>
        <w:rPr>
          <w:sz w:val="22"/>
          <w:szCs w:val="22"/>
        </w:rPr>
        <w:t xml:space="preserve"> — static photos referenced by relative path for the originally cataloged items. Photos added through the UI are stored as base64 data URLs inside the item data instead, so no server upload is needed.</w:t>
      </w:r>
    </w:p>
    <w:p>
      <w:pPr>
        <w:pStyle w:val="Heading1"/>
        <w:spacing w:after="160" w:before="360"/>
      </w:pPr>
      <w:r>
        <w:t xml:space="preserve">2. Data Model</w:t>
      </w:r>
    </w:p>
    <w:p>
      <w:pPr>
        <w:pStyle w:val="Heading2"/>
        <w:spacing w:after="120" w:before="240"/>
      </w:pPr>
      <w:r>
        <w:t xml:space="preserve">SITE_CONFIG</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2304"/>
        <w:gridCol w:w="1727"/>
        <w:gridCol w:w="5328"/>
      </w:tblGrid>
      <w:tr>
        <w:tc>
          <w:tcPr>
            <w:tcW w:type="dxa" w:w="2304"/>
            <w:shd w:fill="2C3F2F" w:val="clear"/>
            <w:tcMar>
              <w:top w:type="dxa" w:w="70"/>
              <w:left w:type="dxa" w:w="110"/>
              <w:bottom w:type="dxa" w:w="70"/>
              <w:right w:type="dxa" w:w="110"/>
            </w:tcMar>
          </w:tcPr>
          <w:p>
            <w:r>
              <w:rPr>
                <w:b/>
                <w:bCs/>
                <w:color w:val="FFFFFF"/>
                <w:sz w:val="21"/>
                <w:szCs w:val="21"/>
              </w:rPr>
              <w:t xml:space="preserve">Key</w:t>
            </w:r>
          </w:p>
        </w:tc>
        <w:tc>
          <w:tcPr>
            <w:tcW w:type="dxa" w:w="1727"/>
            <w:shd w:fill="2C3F2F" w:val="clear"/>
            <w:tcMar>
              <w:top w:type="dxa" w:w="70"/>
              <w:left w:type="dxa" w:w="110"/>
              <w:bottom w:type="dxa" w:w="70"/>
              <w:right w:type="dxa" w:w="110"/>
            </w:tcMar>
          </w:tcPr>
          <w:p>
            <w:r>
              <w:rPr>
                <w:b/>
                <w:bCs/>
                <w:color w:val="FFFFFF"/>
                <w:sz w:val="21"/>
                <w:szCs w:val="21"/>
              </w:rPr>
              <w:t xml:space="preserve">Type</w:t>
            </w:r>
          </w:p>
        </w:tc>
        <w:tc>
          <w:tcPr>
            <w:tcW w:type="dxa" w:w="5328"/>
            <w:shd w:fill="2C3F2F" w:val="clear"/>
            <w:tcMar>
              <w:top w:type="dxa" w:w="70"/>
              <w:left w:type="dxa" w:w="110"/>
              <w:bottom w:type="dxa" w:w="70"/>
              <w:right w:type="dxa" w:w="110"/>
            </w:tcMar>
          </w:tcPr>
          <w:p>
            <w:r>
              <w:rPr>
                <w:b/>
                <w:bCs/>
                <w:color w:val="FFFFFF"/>
                <w:sz w:val="21"/>
                <w:szCs w:val="21"/>
              </w:rPr>
              <w:t xml:space="preserve">Purpose</w:t>
            </w:r>
          </w:p>
        </w:tc>
      </w:tr>
      <w:tr>
        <w:tc>
          <w:tcPr>
            <w:tcW w:type="dxa" w:w="2304"/>
            <w:shd w:fill="FFFFFF" w:val="clear"/>
            <w:tcMar>
              <w:top w:type="dxa" w:w="70"/>
              <w:left w:type="dxa" w:w="110"/>
              <w:bottom w:type="dxa" w:w="70"/>
              <w:right w:type="dxa" w:w="110"/>
            </w:tcMar>
          </w:tcPr>
          <w:p>
            <w:r>
              <w:rPr>
                <w:rFonts w:ascii="Consolas" w:cs="Consolas" w:eastAsia="Consolas" w:hAnsi="Consolas"/>
                <w:b/>
                <w:bCs/>
                <w:sz w:val="20"/>
                <w:szCs w:val="20"/>
              </w:rPr>
              <w:t xml:space="preserve">contactEmail</w:t>
            </w:r>
          </w:p>
        </w:tc>
        <w:tc>
          <w:tcPr>
            <w:tcW w:type="dxa" w:w="1727"/>
            <w:shd w:fill="FFFFFF" w:val="clear"/>
            <w:tcMar>
              <w:top w:type="dxa" w:w="70"/>
              <w:left w:type="dxa" w:w="110"/>
              <w:bottom w:type="dxa" w:w="70"/>
              <w:right w:type="dxa" w:w="110"/>
            </w:tcMar>
          </w:tcPr>
          <w:p>
            <w:r>
              <w:rPr>
                <w:rFonts w:ascii="Consolas" w:cs="Consolas" w:eastAsia="Consolas" w:hAnsi="Consolas"/>
                <w:b w:val="false"/>
                <w:bCs w:val="false"/>
                <w:sz w:val="20"/>
                <w:szCs w:val="20"/>
              </w:rPr>
              <w:t xml:space="preserve">string</w:t>
            </w:r>
          </w:p>
        </w:tc>
        <w:tc>
          <w:tcPr>
            <w:tcW w:type="dxa" w:w="5328"/>
            <w:shd w:fill="FFFFFF" w:val="clear"/>
            <w:tcMar>
              <w:top w:type="dxa" w:w="70"/>
              <w:left w:type="dxa" w:w="110"/>
              <w:bottom w:type="dxa" w:w="70"/>
              <w:right w:type="dxa" w:w="110"/>
            </w:tcMar>
          </w:tcPr>
          <w:p>
            <w:r>
              <w:rPr>
                <w:rFonts w:ascii="Georgia" w:cs="Georgia" w:eastAsia="Georgia" w:hAnsi="Georgia"/>
                <w:b w:val="false"/>
                <w:bCs w:val="false"/>
                <w:sz w:val="20"/>
                <w:szCs w:val="20"/>
              </w:rPr>
              <w:t xml:space="preserve">Powers the mailto: “I'm interested” button. Empty hides it.</w:t>
            </w:r>
          </w:p>
        </w:tc>
      </w:tr>
      <w:tr>
        <w:tc>
          <w:tcPr>
            <w:tcW w:type="dxa" w:w="2304"/>
            <w:shd w:fill="F3EEE4" w:val="clear"/>
            <w:tcMar>
              <w:top w:type="dxa" w:w="70"/>
              <w:left w:type="dxa" w:w="110"/>
              <w:bottom w:type="dxa" w:w="70"/>
              <w:right w:type="dxa" w:w="110"/>
            </w:tcMar>
          </w:tcPr>
          <w:p>
            <w:r>
              <w:rPr>
                <w:rFonts w:ascii="Consolas" w:cs="Consolas" w:eastAsia="Consolas" w:hAnsi="Consolas"/>
                <w:b/>
                <w:bCs/>
                <w:sz w:val="20"/>
                <w:szCs w:val="20"/>
              </w:rPr>
              <w:t xml:space="preserve">contactPhone</w:t>
            </w:r>
          </w:p>
        </w:tc>
        <w:tc>
          <w:tcPr>
            <w:tcW w:type="dxa" w:w="1727"/>
            <w:shd w:fill="F3EEE4" w:val="clear"/>
            <w:tcMar>
              <w:top w:type="dxa" w:w="70"/>
              <w:left w:type="dxa" w:w="110"/>
              <w:bottom w:type="dxa" w:w="70"/>
              <w:right w:type="dxa" w:w="110"/>
            </w:tcMar>
          </w:tcPr>
          <w:p>
            <w:r>
              <w:rPr>
                <w:rFonts w:ascii="Consolas" w:cs="Consolas" w:eastAsia="Consolas" w:hAnsi="Consolas"/>
                <w:b w:val="false"/>
                <w:bCs w:val="false"/>
                <w:sz w:val="20"/>
                <w:szCs w:val="20"/>
              </w:rPr>
              <w:t xml:space="preserve">string</w:t>
            </w:r>
          </w:p>
        </w:tc>
        <w:tc>
          <w:tcPr>
            <w:tcW w:type="dxa" w:w="5328"/>
            <w:shd w:fill="F3EEE4" w:val="clear"/>
            <w:tcMar>
              <w:top w:type="dxa" w:w="70"/>
              <w:left w:type="dxa" w:w="110"/>
              <w:bottom w:type="dxa" w:w="70"/>
              <w:right w:type="dxa" w:w="110"/>
            </w:tcMar>
          </w:tcPr>
          <w:p>
            <w:r>
              <w:rPr>
                <w:rFonts w:ascii="Georgia" w:cs="Georgia" w:eastAsia="Georgia" w:hAnsi="Georgia"/>
                <w:b w:val="false"/>
                <w:bCs w:val="false"/>
                <w:sz w:val="20"/>
                <w:szCs w:val="20"/>
              </w:rPr>
              <w:t xml:space="preserve">Powers the sms: button. E.164 format recommended (+1305…).</w:t>
            </w:r>
          </w:p>
        </w:tc>
      </w:tr>
      <w:tr>
        <w:tc>
          <w:tcPr>
            <w:tcW w:type="dxa" w:w="2304"/>
            <w:shd w:fill="FFFFFF" w:val="clear"/>
            <w:tcMar>
              <w:top w:type="dxa" w:w="70"/>
              <w:left w:type="dxa" w:w="110"/>
              <w:bottom w:type="dxa" w:w="70"/>
              <w:right w:type="dxa" w:w="110"/>
            </w:tcMar>
          </w:tcPr>
          <w:p>
            <w:r>
              <w:rPr>
                <w:rFonts w:ascii="Consolas" w:cs="Consolas" w:eastAsia="Consolas" w:hAnsi="Consolas"/>
                <w:b/>
                <w:bCs/>
                <w:sz w:val="20"/>
                <w:szCs w:val="20"/>
              </w:rPr>
              <w:t xml:space="preserve">pickupArea</w:t>
            </w:r>
          </w:p>
        </w:tc>
        <w:tc>
          <w:tcPr>
            <w:tcW w:type="dxa" w:w="1727"/>
            <w:shd w:fill="FFFFFF" w:val="clear"/>
            <w:tcMar>
              <w:top w:type="dxa" w:w="70"/>
              <w:left w:type="dxa" w:w="110"/>
              <w:bottom w:type="dxa" w:w="70"/>
              <w:right w:type="dxa" w:w="110"/>
            </w:tcMar>
          </w:tcPr>
          <w:p>
            <w:r>
              <w:rPr>
                <w:rFonts w:ascii="Consolas" w:cs="Consolas" w:eastAsia="Consolas" w:hAnsi="Consolas"/>
                <w:b w:val="false"/>
                <w:bCs w:val="false"/>
                <w:sz w:val="20"/>
                <w:szCs w:val="20"/>
              </w:rPr>
              <w:t xml:space="preserve">string</w:t>
            </w:r>
          </w:p>
        </w:tc>
        <w:tc>
          <w:tcPr>
            <w:tcW w:type="dxa" w:w="5328"/>
            <w:shd w:fill="FFFFFF" w:val="clear"/>
            <w:tcMar>
              <w:top w:type="dxa" w:w="70"/>
              <w:left w:type="dxa" w:w="110"/>
              <w:bottom w:type="dxa" w:w="70"/>
              <w:right w:type="dxa" w:w="110"/>
            </w:tcMar>
          </w:tcPr>
          <w:p>
            <w:r>
              <w:rPr>
                <w:rFonts w:ascii="Georgia" w:cs="Georgia" w:eastAsia="Georgia" w:hAnsi="Georgia"/>
                <w:b w:val="false"/>
                <w:bCs w:val="false"/>
                <w:sz w:val="20"/>
                <w:szCs w:val="20"/>
              </w:rPr>
              <w:t xml:space="preserve">General pickup area shown in Sale Terms; never the street address.</w:t>
            </w:r>
          </w:p>
        </w:tc>
      </w:tr>
      <w:tr>
        <w:tc>
          <w:tcPr>
            <w:tcW w:type="dxa" w:w="2304"/>
            <w:shd w:fill="F3EEE4" w:val="clear"/>
            <w:tcMar>
              <w:top w:type="dxa" w:w="70"/>
              <w:left w:type="dxa" w:w="110"/>
              <w:bottom w:type="dxa" w:w="70"/>
              <w:right w:type="dxa" w:w="110"/>
            </w:tcMar>
          </w:tcPr>
          <w:p>
            <w:r>
              <w:rPr>
                <w:rFonts w:ascii="Consolas" w:cs="Consolas" w:eastAsia="Consolas" w:hAnsi="Consolas"/>
                <w:b/>
                <w:bCs/>
                <w:sz w:val="20"/>
                <w:szCs w:val="20"/>
              </w:rPr>
              <w:t xml:space="preserve">payments</w:t>
            </w:r>
          </w:p>
        </w:tc>
        <w:tc>
          <w:tcPr>
            <w:tcW w:type="dxa" w:w="1727"/>
            <w:shd w:fill="F3EEE4" w:val="clear"/>
            <w:tcMar>
              <w:top w:type="dxa" w:w="70"/>
              <w:left w:type="dxa" w:w="110"/>
              <w:bottom w:type="dxa" w:w="70"/>
              <w:right w:type="dxa" w:w="110"/>
            </w:tcMar>
          </w:tcPr>
          <w:p>
            <w:r>
              <w:rPr>
                <w:rFonts w:ascii="Consolas" w:cs="Consolas" w:eastAsia="Consolas" w:hAnsi="Consolas"/>
                <w:b w:val="false"/>
                <w:bCs w:val="false"/>
                <w:sz w:val="20"/>
                <w:szCs w:val="20"/>
              </w:rPr>
              <w:t xml:space="preserve">string</w:t>
            </w:r>
          </w:p>
        </w:tc>
        <w:tc>
          <w:tcPr>
            <w:tcW w:type="dxa" w:w="5328"/>
            <w:shd w:fill="F3EEE4" w:val="clear"/>
            <w:tcMar>
              <w:top w:type="dxa" w:w="70"/>
              <w:left w:type="dxa" w:w="110"/>
              <w:bottom w:type="dxa" w:w="70"/>
              <w:right w:type="dxa" w:w="110"/>
            </w:tcMar>
          </w:tcPr>
          <w:p>
            <w:r>
              <w:rPr>
                <w:rFonts w:ascii="Georgia" w:cs="Georgia" w:eastAsia="Georgia" w:hAnsi="Georgia"/>
                <w:b w:val="false"/>
                <w:bCs w:val="false"/>
                <w:sz w:val="20"/>
                <w:szCs w:val="20"/>
              </w:rPr>
              <w:t xml:space="preserve">Accepted payment methods shown in Sale Terms.</w:t>
            </w:r>
          </w:p>
        </w:tc>
      </w:tr>
      <w:tr>
        <w:tc>
          <w:tcPr>
            <w:tcW w:type="dxa" w:w="2304"/>
            <w:shd w:fill="FFFFFF" w:val="clear"/>
            <w:tcMar>
              <w:top w:type="dxa" w:w="70"/>
              <w:left w:type="dxa" w:w="110"/>
              <w:bottom w:type="dxa" w:w="70"/>
              <w:right w:type="dxa" w:w="110"/>
            </w:tcMar>
          </w:tcPr>
          <w:p>
            <w:r>
              <w:rPr>
                <w:rFonts w:ascii="Consolas" w:cs="Consolas" w:eastAsia="Consolas" w:hAnsi="Consolas"/>
                <w:b/>
                <w:bCs/>
                <w:sz w:val="20"/>
                <w:szCs w:val="20"/>
              </w:rPr>
              <w:t xml:space="preserve">terms</w:t>
            </w:r>
          </w:p>
        </w:tc>
        <w:tc>
          <w:tcPr>
            <w:tcW w:type="dxa" w:w="1727"/>
            <w:shd w:fill="FFFFFF" w:val="clear"/>
            <w:tcMar>
              <w:top w:type="dxa" w:w="70"/>
              <w:left w:type="dxa" w:w="110"/>
              <w:bottom w:type="dxa" w:w="70"/>
              <w:right w:type="dxa" w:w="110"/>
            </w:tcMar>
          </w:tcPr>
          <w:p>
            <w:r>
              <w:rPr>
                <w:rFonts w:ascii="Consolas" w:cs="Consolas" w:eastAsia="Consolas" w:hAnsi="Consolas"/>
                <w:b w:val="false"/>
                <w:bCs w:val="false"/>
                <w:sz w:val="20"/>
                <w:szCs w:val="20"/>
              </w:rPr>
              <w:t xml:space="preserve">string</w:t>
            </w:r>
          </w:p>
        </w:tc>
        <w:tc>
          <w:tcPr>
            <w:tcW w:type="dxa" w:w="5328"/>
            <w:shd w:fill="FFFFFF" w:val="clear"/>
            <w:tcMar>
              <w:top w:type="dxa" w:w="70"/>
              <w:left w:type="dxa" w:w="110"/>
              <w:bottom w:type="dxa" w:w="70"/>
              <w:right w:type="dxa" w:w="110"/>
            </w:tcMar>
          </w:tcPr>
          <w:p>
            <w:r>
              <w:rPr>
                <w:rFonts w:ascii="Georgia" w:cs="Georgia" w:eastAsia="Georgia" w:hAnsi="Georgia"/>
                <w:b w:val="false"/>
                <w:bCs w:val="false"/>
                <w:sz w:val="20"/>
                <w:szCs w:val="20"/>
              </w:rPr>
              <w:t xml:space="preserve">Free-text sale rules shown in Sale Terms.</w:t>
            </w:r>
          </w:p>
        </w:tc>
      </w:tr>
    </w:tbl>
    <w:p>
      <w:pPr>
        <w:spacing w:after="200"/>
      </w:pPr>
    </w:p>
    <w:p>
      <w:pPr>
        <w:pStyle w:val="Heading2"/>
        <w:spacing w:after="120" w:before="240"/>
      </w:pPr>
      <w:r>
        <w:t xml:space="preserve">ITEMS[] — one object per item</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2304"/>
        <w:gridCol w:w="1727"/>
        <w:gridCol w:w="5328"/>
      </w:tblGrid>
      <w:tr>
        <w:tc>
          <w:tcPr>
            <w:tcW w:type="dxa" w:w="2304"/>
            <w:shd w:fill="2C3F2F" w:val="clear"/>
            <w:tcMar>
              <w:top w:type="dxa" w:w="70"/>
              <w:left w:type="dxa" w:w="110"/>
              <w:bottom w:type="dxa" w:w="70"/>
              <w:right w:type="dxa" w:w="110"/>
            </w:tcMar>
          </w:tcPr>
          <w:p>
            <w:r>
              <w:rPr>
                <w:b/>
                <w:bCs/>
                <w:color w:val="FFFFFF"/>
                <w:sz w:val="21"/>
                <w:szCs w:val="21"/>
              </w:rPr>
              <w:t xml:space="preserve">Key</w:t>
            </w:r>
          </w:p>
        </w:tc>
        <w:tc>
          <w:tcPr>
            <w:tcW w:type="dxa" w:w="1727"/>
            <w:shd w:fill="2C3F2F" w:val="clear"/>
            <w:tcMar>
              <w:top w:type="dxa" w:w="70"/>
              <w:left w:type="dxa" w:w="110"/>
              <w:bottom w:type="dxa" w:w="70"/>
              <w:right w:type="dxa" w:w="110"/>
            </w:tcMar>
          </w:tcPr>
          <w:p>
            <w:r>
              <w:rPr>
                <w:b/>
                <w:bCs/>
                <w:color w:val="FFFFFF"/>
                <w:sz w:val="21"/>
                <w:szCs w:val="21"/>
              </w:rPr>
              <w:t xml:space="preserve">Type</w:t>
            </w:r>
          </w:p>
        </w:tc>
        <w:tc>
          <w:tcPr>
            <w:tcW w:type="dxa" w:w="5328"/>
            <w:shd w:fill="2C3F2F" w:val="clear"/>
            <w:tcMar>
              <w:top w:type="dxa" w:w="70"/>
              <w:left w:type="dxa" w:w="110"/>
              <w:bottom w:type="dxa" w:w="70"/>
              <w:right w:type="dxa" w:w="110"/>
            </w:tcMar>
          </w:tcPr>
          <w:p>
            <w:r>
              <w:rPr>
                <w:b/>
                <w:bCs/>
                <w:color w:val="FFFFFF"/>
                <w:sz w:val="21"/>
                <w:szCs w:val="21"/>
              </w:rPr>
              <w:t xml:space="preserve">Purpose</w:t>
            </w:r>
          </w:p>
        </w:tc>
      </w:tr>
      <w:tr>
        <w:tc>
          <w:tcPr>
            <w:tcW w:type="dxa" w:w="2304"/>
            <w:shd w:fill="FFFFFF" w:val="clear"/>
            <w:tcMar>
              <w:top w:type="dxa" w:w="70"/>
              <w:left w:type="dxa" w:w="110"/>
              <w:bottom w:type="dxa" w:w="70"/>
              <w:right w:type="dxa" w:w="110"/>
            </w:tcMar>
          </w:tcPr>
          <w:p>
            <w:r>
              <w:rPr>
                <w:rFonts w:ascii="Consolas" w:cs="Consolas" w:eastAsia="Consolas" w:hAnsi="Consolas"/>
                <w:b/>
                <w:bCs/>
                <w:sz w:val="20"/>
                <w:szCs w:val="20"/>
              </w:rPr>
              <w:t xml:space="preserve">id</w:t>
            </w:r>
          </w:p>
        </w:tc>
        <w:tc>
          <w:tcPr>
            <w:tcW w:type="dxa" w:w="1727"/>
            <w:shd w:fill="FFFFFF" w:val="clear"/>
            <w:tcMar>
              <w:top w:type="dxa" w:w="70"/>
              <w:left w:type="dxa" w:w="110"/>
              <w:bottom w:type="dxa" w:w="70"/>
              <w:right w:type="dxa" w:w="110"/>
            </w:tcMar>
          </w:tcPr>
          <w:p>
            <w:r>
              <w:rPr>
                <w:rFonts w:ascii="Consolas" w:cs="Consolas" w:eastAsia="Consolas" w:hAnsi="Consolas"/>
                <w:b w:val="false"/>
                <w:bCs w:val="false"/>
                <w:sz w:val="20"/>
                <w:szCs w:val="20"/>
              </w:rPr>
              <w:t xml:space="preserve">string</w:t>
            </w:r>
          </w:p>
        </w:tc>
        <w:tc>
          <w:tcPr>
            <w:tcW w:type="dxa" w:w="5328"/>
            <w:shd w:fill="FFFFFF" w:val="clear"/>
            <w:tcMar>
              <w:top w:type="dxa" w:w="70"/>
              <w:left w:type="dxa" w:w="110"/>
              <w:bottom w:type="dxa" w:w="70"/>
              <w:right w:type="dxa" w:w="110"/>
            </w:tcMar>
          </w:tcPr>
          <w:p>
            <w:r>
              <w:rPr>
                <w:rFonts w:ascii="Georgia" w:cs="Georgia" w:eastAsia="Georgia" w:hAnsi="Georgia"/>
                <w:b w:val="false"/>
                <w:bCs w:val="false"/>
                <w:sz w:val="20"/>
                <w:szCs w:val="20"/>
              </w:rPr>
              <w:t xml:space="preserve">Unique; “item-” + Date.now() for UI-created items. Used for deep links (#id), gallery lookup, and all button targeting.</w:t>
            </w:r>
          </w:p>
        </w:tc>
      </w:tr>
      <w:tr>
        <w:tc>
          <w:tcPr>
            <w:tcW w:type="dxa" w:w="2304"/>
            <w:shd w:fill="F3EEE4" w:val="clear"/>
            <w:tcMar>
              <w:top w:type="dxa" w:w="70"/>
              <w:left w:type="dxa" w:w="110"/>
              <w:bottom w:type="dxa" w:w="70"/>
              <w:right w:type="dxa" w:w="110"/>
            </w:tcMar>
          </w:tcPr>
          <w:p>
            <w:r>
              <w:rPr>
                <w:rFonts w:ascii="Consolas" w:cs="Consolas" w:eastAsia="Consolas" w:hAnsi="Consolas"/>
                <w:b/>
                <w:bCs/>
                <w:sz w:val="20"/>
                <w:szCs w:val="20"/>
              </w:rPr>
              <w:t xml:space="preserve">name</w:t>
            </w:r>
          </w:p>
        </w:tc>
        <w:tc>
          <w:tcPr>
            <w:tcW w:type="dxa" w:w="1727"/>
            <w:shd w:fill="F3EEE4" w:val="clear"/>
            <w:tcMar>
              <w:top w:type="dxa" w:w="70"/>
              <w:left w:type="dxa" w:w="110"/>
              <w:bottom w:type="dxa" w:w="70"/>
              <w:right w:type="dxa" w:w="110"/>
            </w:tcMar>
          </w:tcPr>
          <w:p>
            <w:r>
              <w:rPr>
                <w:rFonts w:ascii="Consolas" w:cs="Consolas" w:eastAsia="Consolas" w:hAnsi="Consolas"/>
                <w:b w:val="false"/>
                <w:bCs w:val="false"/>
                <w:sz w:val="20"/>
                <w:szCs w:val="20"/>
              </w:rPr>
              <w:t xml:space="preserve">string</w:t>
            </w:r>
          </w:p>
        </w:tc>
        <w:tc>
          <w:tcPr>
            <w:tcW w:type="dxa" w:w="5328"/>
            <w:shd w:fill="F3EEE4" w:val="clear"/>
            <w:tcMar>
              <w:top w:type="dxa" w:w="70"/>
              <w:left w:type="dxa" w:w="110"/>
              <w:bottom w:type="dxa" w:w="70"/>
              <w:right w:type="dxa" w:w="110"/>
            </w:tcMar>
          </w:tcPr>
          <w:p>
            <w:r>
              <w:rPr>
                <w:rFonts w:ascii="Georgia" w:cs="Georgia" w:eastAsia="Georgia" w:hAnsi="Georgia"/>
                <w:b w:val="false"/>
                <w:bCs w:val="false"/>
                <w:sz w:val="20"/>
                <w:szCs w:val="20"/>
              </w:rPr>
              <w:t xml:space="preserve">Item title.</w:t>
            </w:r>
          </w:p>
        </w:tc>
      </w:tr>
      <w:tr>
        <w:tc>
          <w:tcPr>
            <w:tcW w:type="dxa" w:w="2304"/>
            <w:shd w:fill="FFFFFF" w:val="clear"/>
            <w:tcMar>
              <w:top w:type="dxa" w:w="70"/>
              <w:left w:type="dxa" w:w="110"/>
              <w:bottom w:type="dxa" w:w="70"/>
              <w:right w:type="dxa" w:w="110"/>
            </w:tcMar>
          </w:tcPr>
          <w:p>
            <w:r>
              <w:rPr>
                <w:rFonts w:ascii="Consolas" w:cs="Consolas" w:eastAsia="Consolas" w:hAnsi="Consolas"/>
                <w:b/>
                <w:bCs/>
                <w:sz w:val="20"/>
                <w:szCs w:val="20"/>
              </w:rPr>
              <w:t xml:space="preserve">category</w:t>
            </w:r>
          </w:p>
        </w:tc>
        <w:tc>
          <w:tcPr>
            <w:tcW w:type="dxa" w:w="1727"/>
            <w:shd w:fill="FFFFFF" w:val="clear"/>
            <w:tcMar>
              <w:top w:type="dxa" w:w="70"/>
              <w:left w:type="dxa" w:w="110"/>
              <w:bottom w:type="dxa" w:w="70"/>
              <w:right w:type="dxa" w:w="110"/>
            </w:tcMar>
          </w:tcPr>
          <w:p>
            <w:r>
              <w:rPr>
                <w:rFonts w:ascii="Consolas" w:cs="Consolas" w:eastAsia="Consolas" w:hAnsi="Consolas"/>
                <w:b w:val="false"/>
                <w:bCs w:val="false"/>
                <w:sz w:val="20"/>
                <w:szCs w:val="20"/>
              </w:rPr>
              <w:t xml:space="preserve">string</w:t>
            </w:r>
          </w:p>
        </w:tc>
        <w:tc>
          <w:tcPr>
            <w:tcW w:type="dxa" w:w="5328"/>
            <w:shd w:fill="FFFFFF" w:val="clear"/>
            <w:tcMar>
              <w:top w:type="dxa" w:w="70"/>
              <w:left w:type="dxa" w:w="110"/>
              <w:bottom w:type="dxa" w:w="70"/>
              <w:right w:type="dxa" w:w="110"/>
            </w:tcMar>
          </w:tcPr>
          <w:p>
            <w:r>
              <w:rPr>
                <w:rFonts w:ascii="Georgia" w:cs="Georgia" w:eastAsia="Georgia" w:hAnsi="Georgia"/>
                <w:b w:val="false"/>
                <w:bCs w:val="false"/>
                <w:sz w:val="20"/>
                <w:szCs w:val="20"/>
              </w:rPr>
              <w:t xml:space="preserve">Free text; drives the category filter.</w:t>
            </w:r>
          </w:p>
        </w:tc>
      </w:tr>
      <w:tr>
        <w:tc>
          <w:tcPr>
            <w:tcW w:type="dxa" w:w="2304"/>
            <w:shd w:fill="F3EEE4" w:val="clear"/>
            <w:tcMar>
              <w:top w:type="dxa" w:w="70"/>
              <w:left w:type="dxa" w:w="110"/>
              <w:bottom w:type="dxa" w:w="70"/>
              <w:right w:type="dxa" w:w="110"/>
            </w:tcMar>
          </w:tcPr>
          <w:p>
            <w:r>
              <w:rPr>
                <w:rFonts w:ascii="Consolas" w:cs="Consolas" w:eastAsia="Consolas" w:hAnsi="Consolas"/>
                <w:b/>
                <w:bCs/>
                <w:sz w:val="20"/>
                <w:szCs w:val="20"/>
              </w:rPr>
              <w:t xml:space="preserve">description</w:t>
            </w:r>
          </w:p>
        </w:tc>
        <w:tc>
          <w:tcPr>
            <w:tcW w:type="dxa" w:w="1727"/>
            <w:shd w:fill="F3EEE4" w:val="clear"/>
            <w:tcMar>
              <w:top w:type="dxa" w:w="70"/>
              <w:left w:type="dxa" w:w="110"/>
              <w:bottom w:type="dxa" w:w="70"/>
              <w:right w:type="dxa" w:w="110"/>
            </w:tcMar>
          </w:tcPr>
          <w:p>
            <w:r>
              <w:rPr>
                <w:rFonts w:ascii="Consolas" w:cs="Consolas" w:eastAsia="Consolas" w:hAnsi="Consolas"/>
                <w:b w:val="false"/>
                <w:bCs w:val="false"/>
                <w:sz w:val="20"/>
                <w:szCs w:val="20"/>
              </w:rPr>
              <w:t xml:space="preserve">string</w:t>
            </w:r>
          </w:p>
        </w:tc>
        <w:tc>
          <w:tcPr>
            <w:tcW w:type="dxa" w:w="5328"/>
            <w:shd w:fill="F3EEE4" w:val="clear"/>
            <w:tcMar>
              <w:top w:type="dxa" w:w="70"/>
              <w:left w:type="dxa" w:w="110"/>
              <w:bottom w:type="dxa" w:w="70"/>
              <w:right w:type="dxa" w:w="110"/>
            </w:tcMar>
          </w:tcPr>
          <w:p>
            <w:r>
              <w:rPr>
                <w:rFonts w:ascii="Georgia" w:cs="Georgia" w:eastAsia="Georgia" w:hAnsi="Georgia"/>
                <w:b w:val="false"/>
                <w:bCs w:val="false"/>
                <w:sz w:val="20"/>
                <w:szCs w:val="20"/>
              </w:rPr>
              <w:t xml:space="preserve">Sales description.</w:t>
            </w:r>
          </w:p>
        </w:tc>
      </w:tr>
      <w:tr>
        <w:tc>
          <w:tcPr>
            <w:tcW w:type="dxa" w:w="2304"/>
            <w:shd w:fill="FFFFFF" w:val="clear"/>
            <w:tcMar>
              <w:top w:type="dxa" w:w="70"/>
              <w:left w:type="dxa" w:w="110"/>
              <w:bottom w:type="dxa" w:w="70"/>
              <w:right w:type="dxa" w:w="110"/>
            </w:tcMar>
          </w:tcPr>
          <w:p>
            <w:r>
              <w:rPr>
                <w:rFonts w:ascii="Consolas" w:cs="Consolas" w:eastAsia="Consolas" w:hAnsi="Consolas"/>
                <w:b/>
                <w:bCs/>
                <w:sz w:val="20"/>
                <w:szCs w:val="20"/>
              </w:rPr>
              <w:t xml:space="preserve">condition</w:t>
            </w:r>
          </w:p>
        </w:tc>
        <w:tc>
          <w:tcPr>
            <w:tcW w:type="dxa" w:w="1727"/>
            <w:shd w:fill="FFFFFF" w:val="clear"/>
            <w:tcMar>
              <w:top w:type="dxa" w:w="70"/>
              <w:left w:type="dxa" w:w="110"/>
              <w:bottom w:type="dxa" w:w="70"/>
              <w:right w:type="dxa" w:w="110"/>
            </w:tcMar>
          </w:tcPr>
          <w:p>
            <w:r>
              <w:rPr>
                <w:rFonts w:ascii="Consolas" w:cs="Consolas" w:eastAsia="Consolas" w:hAnsi="Consolas"/>
                <w:b w:val="false"/>
                <w:bCs w:val="false"/>
                <w:sz w:val="20"/>
                <w:szCs w:val="20"/>
              </w:rPr>
              <w:t xml:space="preserve">string</w:t>
            </w:r>
          </w:p>
        </w:tc>
        <w:tc>
          <w:tcPr>
            <w:tcW w:type="dxa" w:w="5328"/>
            <w:shd w:fill="FFFFFF" w:val="clear"/>
            <w:tcMar>
              <w:top w:type="dxa" w:w="70"/>
              <w:left w:type="dxa" w:w="110"/>
              <w:bottom w:type="dxa" w:w="70"/>
              <w:right w:type="dxa" w:w="110"/>
            </w:tcMar>
          </w:tcPr>
          <w:p>
            <w:r>
              <w:rPr>
                <w:rFonts w:ascii="Georgia" w:cs="Georgia" w:eastAsia="Georgia" w:hAnsi="Georgia"/>
                <w:b w:val="false"/>
                <w:bCs w:val="false"/>
                <w:sz w:val="20"/>
                <w:szCs w:val="20"/>
              </w:rPr>
              <w:t xml:space="preserve">Short condition phrase, appended to the description on the card.</w:t>
            </w:r>
          </w:p>
        </w:tc>
      </w:tr>
      <w:tr>
        <w:tc>
          <w:tcPr>
            <w:tcW w:type="dxa" w:w="2304"/>
            <w:shd w:fill="F3EEE4" w:val="clear"/>
            <w:tcMar>
              <w:top w:type="dxa" w:w="70"/>
              <w:left w:type="dxa" w:w="110"/>
              <w:bottom w:type="dxa" w:w="70"/>
              <w:right w:type="dxa" w:w="110"/>
            </w:tcMar>
          </w:tcPr>
          <w:p>
            <w:r>
              <w:rPr>
                <w:rFonts w:ascii="Consolas" w:cs="Consolas" w:eastAsia="Consolas" w:hAnsi="Consolas"/>
                <w:b/>
                <w:bCs/>
                <w:sz w:val="20"/>
                <w:szCs w:val="20"/>
              </w:rPr>
              <w:t xml:space="preserve">dimensions</w:t>
            </w:r>
          </w:p>
        </w:tc>
        <w:tc>
          <w:tcPr>
            <w:tcW w:type="dxa" w:w="1727"/>
            <w:shd w:fill="F3EEE4" w:val="clear"/>
            <w:tcMar>
              <w:top w:type="dxa" w:w="70"/>
              <w:left w:type="dxa" w:w="110"/>
              <w:bottom w:type="dxa" w:w="70"/>
              <w:right w:type="dxa" w:w="110"/>
            </w:tcMar>
          </w:tcPr>
          <w:p>
            <w:r>
              <w:rPr>
                <w:rFonts w:ascii="Consolas" w:cs="Consolas" w:eastAsia="Consolas" w:hAnsi="Consolas"/>
                <w:b w:val="false"/>
                <w:bCs w:val="false"/>
                <w:sz w:val="20"/>
                <w:szCs w:val="20"/>
              </w:rPr>
              <w:t xml:space="preserve">string</w:t>
            </w:r>
          </w:p>
        </w:tc>
        <w:tc>
          <w:tcPr>
            <w:tcW w:type="dxa" w:w="5328"/>
            <w:shd w:fill="F3EEE4" w:val="clear"/>
            <w:tcMar>
              <w:top w:type="dxa" w:w="70"/>
              <w:left w:type="dxa" w:w="110"/>
              <w:bottom w:type="dxa" w:w="70"/>
              <w:right w:type="dxa" w:w="110"/>
            </w:tcMar>
          </w:tcPr>
          <w:p>
            <w:r>
              <w:rPr>
                <w:rFonts w:ascii="Georgia" w:cs="Georgia" w:eastAsia="Georgia" w:hAnsi="Georgia"/>
                <w:b w:val="false"/>
                <w:bCs w:val="false"/>
                <w:sz w:val="20"/>
                <w:szCs w:val="20"/>
              </w:rPr>
              <w:t xml:space="preserve">Measured size string; renders as a pill on the card.</w:t>
            </w:r>
          </w:p>
        </w:tc>
      </w:tr>
      <w:tr>
        <w:tc>
          <w:tcPr>
            <w:tcW w:type="dxa" w:w="2304"/>
            <w:shd w:fill="FFFFFF" w:val="clear"/>
            <w:tcMar>
              <w:top w:type="dxa" w:w="70"/>
              <w:left w:type="dxa" w:w="110"/>
              <w:bottom w:type="dxa" w:w="70"/>
              <w:right w:type="dxa" w:w="110"/>
            </w:tcMar>
          </w:tcPr>
          <w:p>
            <w:r>
              <w:rPr>
                <w:rFonts w:ascii="Consolas" w:cs="Consolas" w:eastAsia="Consolas" w:hAnsi="Consolas"/>
                <w:b/>
                <w:bCs/>
                <w:sz w:val="20"/>
                <w:szCs w:val="20"/>
              </w:rPr>
              <w:t xml:space="preserve">videoUrl</w:t>
            </w:r>
          </w:p>
        </w:tc>
        <w:tc>
          <w:tcPr>
            <w:tcW w:type="dxa" w:w="1727"/>
            <w:shd w:fill="FFFFFF" w:val="clear"/>
            <w:tcMar>
              <w:top w:type="dxa" w:w="70"/>
              <w:left w:type="dxa" w:w="110"/>
              <w:bottom w:type="dxa" w:w="70"/>
              <w:right w:type="dxa" w:w="110"/>
            </w:tcMar>
          </w:tcPr>
          <w:p>
            <w:r>
              <w:rPr>
                <w:rFonts w:ascii="Consolas" w:cs="Consolas" w:eastAsia="Consolas" w:hAnsi="Consolas"/>
                <w:b w:val="false"/>
                <w:bCs w:val="false"/>
                <w:sz w:val="20"/>
                <w:szCs w:val="20"/>
              </w:rPr>
              <w:t xml:space="preserve">string</w:t>
            </w:r>
          </w:p>
        </w:tc>
        <w:tc>
          <w:tcPr>
            <w:tcW w:type="dxa" w:w="5328"/>
            <w:shd w:fill="FFFFFF" w:val="clear"/>
            <w:tcMar>
              <w:top w:type="dxa" w:w="70"/>
              <w:left w:type="dxa" w:w="110"/>
              <w:bottom w:type="dxa" w:w="70"/>
              <w:right w:type="dxa" w:w="110"/>
            </w:tcMar>
          </w:tcPr>
          <w:p>
            <w:r>
              <w:rPr>
                <w:rFonts w:ascii="Georgia" w:cs="Georgia" w:eastAsia="Georgia" w:hAnsi="Georgia"/>
                <w:b w:val="false"/>
                <w:bCs w:val="false"/>
                <w:sz w:val="20"/>
                <w:szCs w:val="20"/>
              </w:rPr>
              <w:t xml:space="preserve">Optional external video URL (unlisted YouTube / Drive); renders a ▶ Watch video button. External hosting keeps large media out of localStorage.</w:t>
            </w:r>
          </w:p>
        </w:tc>
      </w:tr>
      <w:tr>
        <w:tc>
          <w:tcPr>
            <w:tcW w:type="dxa" w:w="2304"/>
            <w:shd w:fill="F3EEE4" w:val="clear"/>
            <w:tcMar>
              <w:top w:type="dxa" w:w="70"/>
              <w:left w:type="dxa" w:w="110"/>
              <w:bottom w:type="dxa" w:w="70"/>
              <w:right w:type="dxa" w:w="110"/>
            </w:tcMar>
          </w:tcPr>
          <w:p>
            <w:r>
              <w:rPr>
                <w:rFonts w:ascii="Consolas" w:cs="Consolas" w:eastAsia="Consolas" w:hAnsi="Consolas"/>
                <w:b/>
                <w:bCs/>
                <w:sz w:val="20"/>
                <w:szCs w:val="20"/>
              </w:rPr>
              <w:t xml:space="preserve">estValueLow</w:t>
            </w:r>
          </w:p>
        </w:tc>
        <w:tc>
          <w:tcPr>
            <w:tcW w:type="dxa" w:w="1727"/>
            <w:shd w:fill="F3EEE4" w:val="clear"/>
            <w:tcMar>
              <w:top w:type="dxa" w:w="70"/>
              <w:left w:type="dxa" w:w="110"/>
              <w:bottom w:type="dxa" w:w="70"/>
              <w:right w:type="dxa" w:w="110"/>
            </w:tcMar>
          </w:tcPr>
          <w:p>
            <w:r>
              <w:rPr>
                <w:rFonts w:ascii="Consolas" w:cs="Consolas" w:eastAsia="Consolas" w:hAnsi="Consolas"/>
                <w:b w:val="false"/>
                <w:bCs w:val="false"/>
                <w:sz w:val="20"/>
                <w:szCs w:val="20"/>
              </w:rPr>
              <w:t xml:space="preserve">number</w:t>
            </w:r>
          </w:p>
        </w:tc>
        <w:tc>
          <w:tcPr>
            <w:tcW w:type="dxa" w:w="5328"/>
            <w:shd w:fill="F3EEE4" w:val="clear"/>
            <w:tcMar>
              <w:top w:type="dxa" w:w="70"/>
              <w:left w:type="dxa" w:w="110"/>
              <w:bottom w:type="dxa" w:w="70"/>
              <w:right w:type="dxa" w:w="110"/>
            </w:tcMar>
          </w:tcPr>
          <w:p>
            <w:r>
              <w:rPr>
                <w:rFonts w:ascii="Georgia" w:cs="Georgia" w:eastAsia="Georgia" w:hAnsi="Georgia"/>
                <w:b w:val="false"/>
                <w:bCs w:val="false"/>
                <w:sz w:val="20"/>
                <w:szCs w:val="20"/>
              </w:rPr>
              <w:t xml:space="preserve">Low end of the secondhand value range (USD).</w:t>
            </w:r>
          </w:p>
        </w:tc>
      </w:tr>
      <w:tr>
        <w:tc>
          <w:tcPr>
            <w:tcW w:type="dxa" w:w="2304"/>
            <w:shd w:fill="FFFFFF" w:val="clear"/>
            <w:tcMar>
              <w:top w:type="dxa" w:w="70"/>
              <w:left w:type="dxa" w:w="110"/>
              <w:bottom w:type="dxa" w:w="70"/>
              <w:right w:type="dxa" w:w="110"/>
            </w:tcMar>
          </w:tcPr>
          <w:p>
            <w:r>
              <w:rPr>
                <w:rFonts w:ascii="Consolas" w:cs="Consolas" w:eastAsia="Consolas" w:hAnsi="Consolas"/>
                <w:b/>
                <w:bCs/>
                <w:sz w:val="20"/>
                <w:szCs w:val="20"/>
              </w:rPr>
              <w:t xml:space="preserve">estValueHigh</w:t>
            </w:r>
          </w:p>
        </w:tc>
        <w:tc>
          <w:tcPr>
            <w:tcW w:type="dxa" w:w="1727"/>
            <w:shd w:fill="FFFFFF" w:val="clear"/>
            <w:tcMar>
              <w:top w:type="dxa" w:w="70"/>
              <w:left w:type="dxa" w:w="110"/>
              <w:bottom w:type="dxa" w:w="70"/>
              <w:right w:type="dxa" w:w="110"/>
            </w:tcMar>
          </w:tcPr>
          <w:p>
            <w:r>
              <w:rPr>
                <w:rFonts w:ascii="Consolas" w:cs="Consolas" w:eastAsia="Consolas" w:hAnsi="Consolas"/>
                <w:b w:val="false"/>
                <w:bCs w:val="false"/>
                <w:sz w:val="20"/>
                <w:szCs w:val="20"/>
              </w:rPr>
              <w:t xml:space="preserve">number</w:t>
            </w:r>
          </w:p>
        </w:tc>
        <w:tc>
          <w:tcPr>
            <w:tcW w:type="dxa" w:w="5328"/>
            <w:shd w:fill="FFFFFF" w:val="clear"/>
            <w:tcMar>
              <w:top w:type="dxa" w:w="70"/>
              <w:left w:type="dxa" w:w="110"/>
              <w:bottom w:type="dxa" w:w="70"/>
              <w:right w:type="dxa" w:w="110"/>
            </w:tcMar>
          </w:tcPr>
          <w:p>
            <w:r>
              <w:rPr>
                <w:rFonts w:ascii="Georgia" w:cs="Georgia" w:eastAsia="Georgia" w:hAnsi="Georgia"/>
                <w:b w:val="false"/>
                <w:bCs w:val="false"/>
                <w:sz w:val="20"/>
                <w:szCs w:val="20"/>
              </w:rPr>
              <w:t xml:space="preserve">High end of the range (USD).</w:t>
            </w:r>
          </w:p>
        </w:tc>
      </w:tr>
      <w:tr>
        <w:tc>
          <w:tcPr>
            <w:tcW w:type="dxa" w:w="2304"/>
            <w:shd w:fill="F3EEE4" w:val="clear"/>
            <w:tcMar>
              <w:top w:type="dxa" w:w="70"/>
              <w:left w:type="dxa" w:w="110"/>
              <w:bottom w:type="dxa" w:w="70"/>
              <w:right w:type="dxa" w:w="110"/>
            </w:tcMar>
          </w:tcPr>
          <w:p>
            <w:r>
              <w:rPr>
                <w:rFonts w:ascii="Consolas" w:cs="Consolas" w:eastAsia="Consolas" w:hAnsi="Consolas"/>
                <w:b/>
                <w:bCs/>
                <w:sz w:val="20"/>
                <w:szCs w:val="20"/>
              </w:rPr>
              <w:t xml:space="preserve">realisticPrice</w:t>
            </w:r>
          </w:p>
        </w:tc>
        <w:tc>
          <w:tcPr>
            <w:tcW w:type="dxa" w:w="1727"/>
            <w:shd w:fill="F3EEE4" w:val="clear"/>
            <w:tcMar>
              <w:top w:type="dxa" w:w="70"/>
              <w:left w:type="dxa" w:w="110"/>
              <w:bottom w:type="dxa" w:w="70"/>
              <w:right w:type="dxa" w:w="110"/>
            </w:tcMar>
          </w:tcPr>
          <w:p>
            <w:r>
              <w:rPr>
                <w:rFonts w:ascii="Consolas" w:cs="Consolas" w:eastAsia="Consolas" w:hAnsi="Consolas"/>
                <w:b w:val="false"/>
                <w:bCs w:val="false"/>
                <w:sz w:val="20"/>
                <w:szCs w:val="20"/>
              </w:rPr>
              <w:t xml:space="preserve">number</w:t>
            </w:r>
          </w:p>
        </w:tc>
        <w:tc>
          <w:tcPr>
            <w:tcW w:type="dxa" w:w="5328"/>
            <w:shd w:fill="F3EEE4" w:val="clear"/>
            <w:tcMar>
              <w:top w:type="dxa" w:w="70"/>
              <w:left w:type="dxa" w:w="110"/>
              <w:bottom w:type="dxa" w:w="70"/>
              <w:right w:type="dxa" w:w="110"/>
            </w:tcMar>
          </w:tcPr>
          <w:p>
            <w:r>
              <w:rPr>
                <w:rFonts w:ascii="Georgia" w:cs="Georgia" w:eastAsia="Georgia" w:hAnsi="Georgia"/>
                <w:b w:val="false"/>
                <w:bCs w:val="false"/>
                <w:sz w:val="20"/>
                <w:szCs w:val="20"/>
              </w:rPr>
              <w:t xml:space="preserve">Asking price shown on the sale tag.</w:t>
            </w:r>
          </w:p>
        </w:tc>
      </w:tr>
      <w:tr>
        <w:tc>
          <w:tcPr>
            <w:tcW w:type="dxa" w:w="2304"/>
            <w:shd w:fill="FFFFFF" w:val="clear"/>
            <w:tcMar>
              <w:top w:type="dxa" w:w="70"/>
              <w:left w:type="dxa" w:w="110"/>
              <w:bottom w:type="dxa" w:w="70"/>
              <w:right w:type="dxa" w:w="110"/>
            </w:tcMar>
          </w:tcPr>
          <w:p>
            <w:r>
              <w:rPr>
                <w:rFonts w:ascii="Consolas" w:cs="Consolas" w:eastAsia="Consolas" w:hAnsi="Consolas"/>
                <w:b/>
                <w:bCs/>
                <w:sz w:val="20"/>
                <w:szCs w:val="20"/>
              </w:rPr>
              <w:t xml:space="preserve">soldPrice</w:t>
            </w:r>
          </w:p>
        </w:tc>
        <w:tc>
          <w:tcPr>
            <w:tcW w:type="dxa" w:w="1727"/>
            <w:shd w:fill="FFFFFF" w:val="clear"/>
            <w:tcMar>
              <w:top w:type="dxa" w:w="70"/>
              <w:left w:type="dxa" w:w="110"/>
              <w:bottom w:type="dxa" w:w="70"/>
              <w:right w:type="dxa" w:w="110"/>
            </w:tcMar>
          </w:tcPr>
          <w:p>
            <w:r>
              <w:rPr>
                <w:rFonts w:ascii="Consolas" w:cs="Consolas" w:eastAsia="Consolas" w:hAnsi="Consolas"/>
                <w:b w:val="false"/>
                <w:bCs w:val="false"/>
                <w:sz w:val="20"/>
                <w:szCs w:val="20"/>
              </w:rPr>
              <w:t xml:space="preserve">number</w:t>
            </w:r>
          </w:p>
        </w:tc>
        <w:tc>
          <w:tcPr>
            <w:tcW w:type="dxa" w:w="5328"/>
            <w:shd w:fill="FFFFFF" w:val="clear"/>
            <w:tcMar>
              <w:top w:type="dxa" w:w="70"/>
              <w:left w:type="dxa" w:w="110"/>
              <w:bottom w:type="dxa" w:w="70"/>
              <w:right w:type="dxa" w:w="110"/>
            </w:tcMar>
          </w:tcPr>
          <w:p>
            <w:r>
              <w:rPr>
                <w:rFonts w:ascii="Georgia" w:cs="Georgia" w:eastAsia="Georgia" w:hAnsi="Georgia"/>
                <w:b w:val="false"/>
                <w:bCs w:val="false"/>
                <w:sz w:val="20"/>
                <w:szCs w:val="20"/>
              </w:rPr>
              <w:t xml:space="preserve">Actual sale amount; set when status becomes sold, deleted when reverted. Summary “Sold So Far” prefers this over realisticPrice.</w:t>
            </w:r>
          </w:p>
        </w:tc>
      </w:tr>
      <w:tr>
        <w:tc>
          <w:tcPr>
            <w:tcW w:type="dxa" w:w="2304"/>
            <w:shd w:fill="F3EEE4" w:val="clear"/>
            <w:tcMar>
              <w:top w:type="dxa" w:w="70"/>
              <w:left w:type="dxa" w:w="110"/>
              <w:bottom w:type="dxa" w:w="70"/>
              <w:right w:type="dxa" w:w="110"/>
            </w:tcMar>
          </w:tcPr>
          <w:p>
            <w:r>
              <w:rPr>
                <w:rFonts w:ascii="Consolas" w:cs="Consolas" w:eastAsia="Consolas" w:hAnsi="Consolas"/>
                <w:b/>
                <w:bCs/>
                <w:sz w:val="20"/>
                <w:szCs w:val="20"/>
              </w:rPr>
              <w:t xml:space="preserve">platform</w:t>
            </w:r>
          </w:p>
        </w:tc>
        <w:tc>
          <w:tcPr>
            <w:tcW w:type="dxa" w:w="1727"/>
            <w:shd w:fill="F3EEE4" w:val="clear"/>
            <w:tcMar>
              <w:top w:type="dxa" w:w="70"/>
              <w:left w:type="dxa" w:w="110"/>
              <w:bottom w:type="dxa" w:w="70"/>
              <w:right w:type="dxa" w:w="110"/>
            </w:tcMar>
          </w:tcPr>
          <w:p>
            <w:r>
              <w:rPr>
                <w:rFonts w:ascii="Consolas" w:cs="Consolas" w:eastAsia="Consolas" w:hAnsi="Consolas"/>
                <w:b w:val="false"/>
                <w:bCs w:val="false"/>
                <w:sz w:val="20"/>
                <w:szCs w:val="20"/>
              </w:rPr>
              <w:t xml:space="preserve">string</w:t>
            </w:r>
          </w:p>
        </w:tc>
        <w:tc>
          <w:tcPr>
            <w:tcW w:type="dxa" w:w="5328"/>
            <w:shd w:fill="F3EEE4" w:val="clear"/>
            <w:tcMar>
              <w:top w:type="dxa" w:w="70"/>
              <w:left w:type="dxa" w:w="110"/>
              <w:bottom w:type="dxa" w:w="70"/>
              <w:right w:type="dxa" w:w="110"/>
            </w:tcMar>
          </w:tcPr>
          <w:p>
            <w:r>
              <w:rPr>
                <w:rFonts w:ascii="Georgia" w:cs="Georgia" w:eastAsia="Georgia" w:hAnsi="Georgia"/>
                <w:b w:val="false"/>
                <w:bCs w:val="false"/>
                <w:sz w:val="20"/>
                <w:szCs w:val="20"/>
              </w:rPr>
              <w:t xml:space="preserve">Recommended selling platform; drives the platform filter.</w:t>
            </w:r>
          </w:p>
        </w:tc>
      </w:tr>
      <w:tr>
        <w:tc>
          <w:tcPr>
            <w:tcW w:type="dxa" w:w="2304"/>
            <w:shd w:fill="FFFFFF" w:val="clear"/>
            <w:tcMar>
              <w:top w:type="dxa" w:w="70"/>
              <w:left w:type="dxa" w:w="110"/>
              <w:bottom w:type="dxa" w:w="70"/>
              <w:right w:type="dxa" w:w="110"/>
            </w:tcMar>
          </w:tcPr>
          <w:p>
            <w:r>
              <w:rPr>
                <w:rFonts w:ascii="Consolas" w:cs="Consolas" w:eastAsia="Consolas" w:hAnsi="Consolas"/>
                <w:b/>
                <w:bCs/>
                <w:sz w:val="20"/>
                <w:szCs w:val="20"/>
              </w:rPr>
              <w:t xml:space="preserve">platformReason</w:t>
            </w:r>
          </w:p>
        </w:tc>
        <w:tc>
          <w:tcPr>
            <w:tcW w:type="dxa" w:w="1727"/>
            <w:shd w:fill="FFFFFF" w:val="clear"/>
            <w:tcMar>
              <w:top w:type="dxa" w:w="70"/>
              <w:left w:type="dxa" w:w="110"/>
              <w:bottom w:type="dxa" w:w="70"/>
              <w:right w:type="dxa" w:w="110"/>
            </w:tcMar>
          </w:tcPr>
          <w:p>
            <w:r>
              <w:rPr>
                <w:rFonts w:ascii="Consolas" w:cs="Consolas" w:eastAsia="Consolas" w:hAnsi="Consolas"/>
                <w:b w:val="false"/>
                <w:bCs w:val="false"/>
                <w:sz w:val="20"/>
                <w:szCs w:val="20"/>
              </w:rPr>
              <w:t xml:space="preserve">string</w:t>
            </w:r>
          </w:p>
        </w:tc>
        <w:tc>
          <w:tcPr>
            <w:tcW w:type="dxa" w:w="5328"/>
            <w:shd w:fill="FFFFFF" w:val="clear"/>
            <w:tcMar>
              <w:top w:type="dxa" w:w="70"/>
              <w:left w:type="dxa" w:w="110"/>
              <w:bottom w:type="dxa" w:w="70"/>
              <w:right w:type="dxa" w:w="110"/>
            </w:tcMar>
          </w:tcPr>
          <w:p>
            <w:r>
              <w:rPr>
                <w:rFonts w:ascii="Georgia" w:cs="Georgia" w:eastAsia="Georgia" w:hAnsi="Georgia"/>
                <w:b w:val="false"/>
                <w:bCs w:val="false"/>
                <w:sz w:val="20"/>
                <w:szCs w:val="20"/>
              </w:rPr>
              <w:t xml:space="preserve">One-line justification shown on the card.</w:t>
            </w:r>
          </w:p>
        </w:tc>
      </w:tr>
      <w:tr>
        <w:tc>
          <w:tcPr>
            <w:tcW w:type="dxa" w:w="2304"/>
            <w:shd w:fill="F3EEE4" w:val="clear"/>
            <w:tcMar>
              <w:top w:type="dxa" w:w="70"/>
              <w:left w:type="dxa" w:w="110"/>
              <w:bottom w:type="dxa" w:w="70"/>
              <w:right w:type="dxa" w:w="110"/>
            </w:tcMar>
          </w:tcPr>
          <w:p>
            <w:r>
              <w:rPr>
                <w:rFonts w:ascii="Consolas" w:cs="Consolas" w:eastAsia="Consolas" w:hAnsi="Consolas"/>
                <w:b/>
                <w:bCs/>
                <w:sz w:val="20"/>
                <w:szCs w:val="20"/>
              </w:rPr>
              <w:t xml:space="preserve">status</w:t>
            </w:r>
          </w:p>
        </w:tc>
        <w:tc>
          <w:tcPr>
            <w:tcW w:type="dxa" w:w="1727"/>
            <w:shd w:fill="F3EEE4" w:val="clear"/>
            <w:tcMar>
              <w:top w:type="dxa" w:w="70"/>
              <w:left w:type="dxa" w:w="110"/>
              <w:bottom w:type="dxa" w:w="70"/>
              <w:right w:type="dxa" w:w="110"/>
            </w:tcMar>
          </w:tcPr>
          <w:p>
            <w:r>
              <w:rPr>
                <w:rFonts w:ascii="Consolas" w:cs="Consolas" w:eastAsia="Consolas" w:hAnsi="Consolas"/>
                <w:b w:val="false"/>
                <w:bCs w:val="false"/>
                <w:sz w:val="20"/>
                <w:szCs w:val="20"/>
              </w:rPr>
              <w:t xml:space="preserve">string</w:t>
            </w:r>
          </w:p>
        </w:tc>
        <w:tc>
          <w:tcPr>
            <w:tcW w:type="dxa" w:w="5328"/>
            <w:shd w:fill="F3EEE4" w:val="clear"/>
            <w:tcMar>
              <w:top w:type="dxa" w:w="70"/>
              <w:left w:type="dxa" w:w="110"/>
              <w:bottom w:type="dxa" w:w="70"/>
              <w:right w:type="dxa" w:w="110"/>
            </w:tcMar>
          </w:tcPr>
          <w:p>
            <w:r>
              <w:rPr>
                <w:rFonts w:ascii="Georgia" w:cs="Georgia" w:eastAsia="Georgia" w:hAnsi="Georgia"/>
                <w:b w:val="false"/>
                <w:bCs w:val="false"/>
                <w:sz w:val="20"/>
                <w:szCs w:val="20"/>
              </w:rPr>
              <w:t xml:space="preserve">“available” | “pending” | “sold”.</w:t>
            </w:r>
          </w:p>
        </w:tc>
      </w:tr>
      <w:tr>
        <w:tc>
          <w:tcPr>
            <w:tcW w:type="dxa" w:w="2304"/>
            <w:shd w:fill="FFFFFF" w:val="clear"/>
            <w:tcMar>
              <w:top w:type="dxa" w:w="70"/>
              <w:left w:type="dxa" w:w="110"/>
              <w:bottom w:type="dxa" w:w="70"/>
              <w:right w:type="dxa" w:w="110"/>
            </w:tcMar>
          </w:tcPr>
          <w:p>
            <w:r>
              <w:rPr>
                <w:rFonts w:ascii="Consolas" w:cs="Consolas" w:eastAsia="Consolas" w:hAnsi="Consolas"/>
                <w:b/>
                <w:bCs/>
                <w:sz w:val="20"/>
                <w:szCs w:val="20"/>
              </w:rPr>
              <w:t xml:space="preserve">images</w:t>
            </w:r>
          </w:p>
        </w:tc>
        <w:tc>
          <w:tcPr>
            <w:tcW w:type="dxa" w:w="1727"/>
            <w:shd w:fill="FFFFFF" w:val="clear"/>
            <w:tcMar>
              <w:top w:type="dxa" w:w="70"/>
              <w:left w:type="dxa" w:w="110"/>
              <w:bottom w:type="dxa" w:w="70"/>
              <w:right w:type="dxa" w:w="110"/>
            </w:tcMar>
          </w:tcPr>
          <w:p>
            <w:r>
              <w:rPr>
                <w:rFonts w:ascii="Consolas" w:cs="Consolas" w:eastAsia="Consolas" w:hAnsi="Consolas"/>
                <w:b w:val="false"/>
                <w:bCs w:val="false"/>
                <w:sz w:val="20"/>
                <w:szCs w:val="20"/>
              </w:rPr>
              <w:t xml:space="preserve">string[]</w:t>
            </w:r>
          </w:p>
        </w:tc>
        <w:tc>
          <w:tcPr>
            <w:tcW w:type="dxa" w:w="5328"/>
            <w:shd w:fill="FFFFFF" w:val="clear"/>
            <w:tcMar>
              <w:top w:type="dxa" w:w="70"/>
              <w:left w:type="dxa" w:w="110"/>
              <w:bottom w:type="dxa" w:w="70"/>
              <w:right w:type="dxa" w:w="110"/>
            </w:tcMar>
          </w:tcPr>
          <w:p>
            <w:r>
              <w:rPr>
                <w:rFonts w:ascii="Georgia" w:cs="Georgia" w:eastAsia="Georgia" w:hAnsi="Georgia"/>
                <w:b w:val="false"/>
                <w:bCs w:val="false"/>
                <w:sz w:val="20"/>
                <w:szCs w:val="20"/>
              </w:rPr>
              <w:t xml:space="preserve">Photo sources: relative paths or base64 data URLs. First entry is the cover. Legacy single “image” fields are migrated by normalize().</w:t>
            </w:r>
          </w:p>
        </w:tc>
      </w:tr>
    </w:tbl>
    <w:p>
      <w:pPr>
        <w:spacing w:after="200"/>
      </w:pPr>
    </w:p>
    <w:p>
      <w:pPr>
        <w:pStyle w:val="Heading1"/>
        <w:spacing w:after="160" w:before="360"/>
      </w:pPr>
      <w:r>
        <w:t xml:space="preserve">3. State &amp; Persistence</w:t>
      </w:r>
    </w:p>
    <w:p>
      <w:pPr>
        <w:spacing w:after="160"/>
      </w:pPr>
      <w:r>
        <w:rPr>
          <w:sz w:val="22"/>
          <w:szCs w:val="22"/>
        </w:rPr>
        <w:t xml:space="preserve">The published state lives in items-data.js. Working state lives in the browser via localStorage under three keys:</w:t>
      </w:r>
    </w:p>
    <w:p>
      <w:pPr>
        <w:pStyle w:val="ListParagraph"/>
        <w:numPr>
          <w:ilvl w:val="0"/>
          <w:numId w:val="2"/>
        </w:numPr>
      </w:pPr>
      <w:r>
        <w:rPr>
          <w:b/>
          <w:bCs/>
          <w:sz w:val="22"/>
          <w:szCs w:val="22"/>
        </w:rPr>
        <w:t xml:space="preserve">estateCatalog</w:t>
      </w:r>
      <w:r>
        <w:rPr>
          <w:sz w:val="22"/>
          <w:szCs w:val="22"/>
        </w:rPr>
        <w:t xml:space="preserve"> — JSON of the full item array, written on every change.</w:t>
      </w:r>
    </w:p>
    <w:p>
      <w:pPr>
        <w:pStyle w:val="ListParagraph"/>
        <w:numPr>
          <w:ilvl w:val="0"/>
          <w:numId w:val="2"/>
        </w:numPr>
      </w:pPr>
      <w:r>
        <w:rPr>
          <w:b/>
          <w:bCs/>
          <w:sz w:val="22"/>
          <w:szCs w:val="22"/>
        </w:rPr>
        <w:t xml:space="preserve">estateConfig</w:t>
      </w:r>
      <w:r>
        <w:rPr>
          <w:sz w:val="22"/>
          <w:szCs w:val="22"/>
        </w:rPr>
        <w:t xml:space="preserve"> — JSON of SITE_CONFIG overrides.</w:t>
      </w:r>
    </w:p>
    <w:p>
      <w:pPr>
        <w:pStyle w:val="ListParagraph"/>
        <w:numPr>
          <w:ilvl w:val="0"/>
          <w:numId w:val="2"/>
        </w:numPr>
      </w:pPr>
      <w:r>
        <w:rPr>
          <w:b/>
          <w:bCs/>
          <w:sz w:val="22"/>
          <w:szCs w:val="22"/>
        </w:rPr>
        <w:t xml:space="preserve">estateApiKey</w:t>
      </w:r>
      <w:r>
        <w:rPr>
          <w:sz w:val="22"/>
          <w:szCs w:val="22"/>
        </w:rPr>
        <w:t xml:space="preserve"> — the Anthropic API key. Deliberately excluded from exports so the key never reaches the published site.</w:t>
      </w:r>
    </w:p>
    <w:p>
      <w:pPr>
        <w:spacing w:after="160"/>
      </w:pPr>
      <w:r>
        <w:rPr>
          <w:sz w:val="22"/>
          <w:szCs w:val="22"/>
        </w:rPr>
        <w:t xml:space="preserve">Load order: loadCatalog() prefers localStorage, falling back to the ITEMS global; loadConfig() merges localStorage over SITE_CONFIG. normalize() migrates legacy items (single image string → images array). persist() writes both keys and re-renders; a quota failure alerts the user to export a backup, since many base64 photos can approach the ~5–10 MB localStorage limit.</w:t>
      </w:r>
    </w:p>
    <w:p>
      <w:pPr>
        <w:spacing w:after="160"/>
      </w:pPr>
      <w:r>
        <w:rPr>
          <w:sz w:val="22"/>
          <w:szCs w:val="22"/>
        </w:rPr>
        <w:t xml:space="preserve">Publishing model: the export button serializes SITE_CONFIG and ITEMS into a new items-data.js (photos embedded as data URLs). The user replaces the file in the site folder and re-uploads. “Reset to published data” clears both localStorage keys and reloads the globals. Import parses a data file with regex extraction of the two declarations (JSON.parse-able because export uses JSON.stringify), with a plain-JSON-array fallback.</w:t>
      </w:r>
    </w:p>
    <w:p>
      <w:pPr>
        <w:pStyle w:val="Heading1"/>
        <w:spacing w:after="160" w:before="360"/>
      </w:pPr>
      <w:r>
        <w:t xml:space="preserve">4. Key Functions</w:t>
      </w:r>
    </w:p>
    <w:p>
      <w:pPr>
        <w:pStyle w:val="ListParagraph"/>
        <w:numPr>
          <w:ilvl w:val="0"/>
          <w:numId w:val="2"/>
        </w:numPr>
      </w:pPr>
      <w:r>
        <w:rPr>
          <w:b/>
          <w:bCs/>
          <w:sz w:val="22"/>
          <w:szCs w:val="22"/>
        </w:rPr>
        <w:t xml:space="preserve">render()</w:t>
      </w:r>
      <w:r>
        <w:rPr>
          <w:sz w:val="22"/>
          <w:szCs w:val="22"/>
        </w:rPr>
        <w:t xml:space="preserve"> — filters, sorts, and rebuilds the card grid as an HTML string; re-run on every input or state change. All user text passes through esc() to prevent HTML injection.</w:t>
      </w:r>
    </w:p>
    <w:p>
      <w:pPr>
        <w:pStyle w:val="ListParagraph"/>
        <w:numPr>
          <w:ilvl w:val="0"/>
          <w:numId w:val="2"/>
        </w:numPr>
      </w:pPr>
      <w:r>
        <w:rPr>
          <w:b/>
          <w:bCs/>
          <w:sz w:val="22"/>
          <w:szCs w:val="22"/>
        </w:rPr>
        <w:t xml:space="preserve">summarize()</w:t>
      </w:r>
      <w:r>
        <w:rPr>
          <w:sz w:val="22"/>
          <w:szCs w:val="22"/>
        </w:rPr>
        <w:t xml:space="preserve"> — computes the four header stats. Value Remaining sums realisticPrice of unsold items; Sold So Far sums soldPrice ?? realisticPrice of sold items.</w:t>
      </w:r>
    </w:p>
    <w:p>
      <w:pPr>
        <w:pStyle w:val="ListParagraph"/>
        <w:numPr>
          <w:ilvl w:val="0"/>
          <w:numId w:val="2"/>
        </w:numPr>
      </w:pPr>
      <w:r>
        <w:rPr>
          <w:b/>
          <w:bCs/>
          <w:sz w:val="22"/>
          <w:szCs w:val="22"/>
        </w:rPr>
        <w:t xml:space="preserve">compressImage(file, 1200, 0.82)</w:t>
      </w:r>
      <w:r>
        <w:rPr>
          <w:sz w:val="22"/>
          <w:szCs w:val="22"/>
        </w:rPr>
        <w:t xml:space="preserve"> — canvas-based downscale to max 1200px and JPEG 82% before storage, keeping data URLs small.</w:t>
      </w:r>
    </w:p>
    <w:p>
      <w:pPr>
        <w:pStyle w:val="ListParagraph"/>
        <w:numPr>
          <w:ilvl w:val="0"/>
          <w:numId w:val="2"/>
        </w:numPr>
      </w:pPr>
      <w:r>
        <w:rPr>
          <w:b/>
          <w:bCs/>
          <w:sz w:val="22"/>
          <w:szCs w:val="22"/>
        </w:rPr>
        <w:t xml:space="preserve">scanWithClaude(dataUrl)</w:t>
      </w:r>
      <w:r>
        <w:rPr>
          <w:sz w:val="22"/>
          <w:szCs w:val="22"/>
        </w:rPr>
        <w:t xml:space="preserve"> — the AI scan (Section 5).</w:t>
      </w:r>
    </w:p>
    <w:p>
      <w:pPr>
        <w:pStyle w:val="ListParagraph"/>
        <w:numPr>
          <w:ilvl w:val="0"/>
          <w:numId w:val="2"/>
        </w:numPr>
      </w:pPr>
      <w:r>
        <w:rPr>
          <w:b/>
          <w:bCs/>
          <w:sz w:val="22"/>
          <w:szCs w:val="22"/>
        </w:rPr>
        <w:t xml:space="preserve">crossPost(item, platform)</w:t>
      </w:r>
      <w:r>
        <w:rPr>
          <w:sz w:val="22"/>
          <w:szCs w:val="22"/>
        </w:rPr>
        <w:t xml:space="preserve"> — builds a plain-text listing (name, price, description, dimensions, condition, pickup/payment), copies it via the Clipboard API (prompt() fallback), then opens facebook.com/marketplace/create/item or ebay.com/sell/create in a new tab. Direct API posting is not implemented because Facebook offers no public listing API and eBay's Sell API requires OAuth plus a backend.</w:t>
      </w:r>
    </w:p>
    <w:p>
      <w:pPr>
        <w:pStyle w:val="ListParagraph"/>
        <w:numPr>
          <w:ilvl w:val="0"/>
          <w:numId w:val="2"/>
        </w:numPr>
      </w:pPr>
      <w:r>
        <w:rPr>
          <w:b/>
          <w:bCs/>
          <w:sz w:val="22"/>
          <w:szCs w:val="22"/>
        </w:rPr>
        <w:t xml:space="preserve">shareItem(id)</w:t>
      </w:r>
      <w:r>
        <w:rPr>
          <w:sz w:val="22"/>
          <w:szCs w:val="22"/>
        </w:rPr>
        <w:t xml:space="preserve"> — navigator.share() with clipboard fallback; links use #item-id, which the init code resolves by scrolling to and highlighting the card.</w:t>
      </w:r>
    </w:p>
    <w:p>
      <w:pPr>
        <w:pStyle w:val="ListParagraph"/>
        <w:numPr>
          <w:ilvl w:val="0"/>
          <w:numId w:val="2"/>
        </w:numPr>
      </w:pPr>
      <w:r>
        <w:rPr>
          <w:b/>
          <w:bCs/>
          <w:sz w:val="22"/>
          <w:szCs w:val="22"/>
        </w:rPr>
        <w:t xml:space="preserve">openLightbox(itemId)</w:t>
      </w:r>
      <w:r>
        <w:rPr>
          <w:sz w:val="22"/>
          <w:szCs w:val="22"/>
        </w:rPr>
        <w:t xml:space="preserve"> — full-screen gallery over item.images with arrow/Escape keyboard support.</w:t>
      </w:r>
    </w:p>
    <w:p>
      <w:pPr>
        <w:spacing w:after="160"/>
      </w:pPr>
      <w:r>
        <w:rPr>
          <w:sz w:val="22"/>
          <w:szCs w:val="22"/>
        </w:rPr>
        <w:t xml:space="preserve">Event handling uses delegation: one click listener on the grid routes data-act / data-share / data-gallery attributes, so re-rendering never re-binds listeners.</w:t>
      </w:r>
    </w:p>
    <w:p>
      <w:pPr>
        <w:pStyle w:val="Heading1"/>
        <w:spacing w:after="160" w:before="360"/>
      </w:pPr>
      <w:r>
        <w:t xml:space="preserve">5. AI Scan Integration</w:t>
      </w:r>
    </w:p>
    <w:p>
      <w:pPr>
        <w:spacing w:after="160"/>
      </w:pPr>
      <w:r>
        <w:rPr>
          <w:sz w:val="22"/>
          <w:szCs w:val="22"/>
        </w:rPr>
        <w:t xml:space="preserve">The scan sends the first (compressed) photo to Anthropic's Messages API directly from the browser:</w:t>
      </w:r>
    </w:p>
    <w:p>
      <w:pPr>
        <w:shd w:fill="F3EEE4" w:val="clear"/>
        <w:spacing w:after="60"/>
        <w:ind w:left="360"/>
      </w:pPr>
      <w:r>
        <w:rPr>
          <w:rFonts w:ascii="Consolas" w:cs="Consolas" w:eastAsia="Consolas" w:hAnsi="Consolas"/>
          <w:sz w:val="19"/>
          <w:szCs w:val="19"/>
        </w:rPr>
        <w:t xml:space="preserve">POST https://api.anthropic.com/v1/messages</w:t>
      </w:r>
    </w:p>
    <w:p>
      <w:pPr>
        <w:shd w:fill="F3EEE4" w:val="clear"/>
        <w:spacing w:after="60"/>
        <w:ind w:left="360"/>
      </w:pPr>
      <w:r>
        <w:rPr>
          <w:rFonts w:ascii="Consolas" w:cs="Consolas" w:eastAsia="Consolas" w:hAnsi="Consolas"/>
          <w:sz w:val="19"/>
          <w:szCs w:val="19"/>
        </w:rPr>
        <w:t xml:space="preserve">model: claude-sonnet-4-6, max_tokens: 1000</w:t>
      </w:r>
    </w:p>
    <w:p>
      <w:pPr>
        <w:shd w:fill="F3EEE4" w:val="clear"/>
        <w:spacing w:after="60"/>
        <w:ind w:left="360"/>
      </w:pPr>
      <w:r>
        <w:rPr>
          <w:rFonts w:ascii="Consolas" w:cs="Consolas" w:eastAsia="Consolas" w:hAnsi="Consolas"/>
          <w:sz w:val="19"/>
          <w:szCs w:val="19"/>
        </w:rPr>
        <w:t xml:space="preserve">headers: x-api-key, anthropic-version: 2023-06-01,</w:t>
      </w:r>
    </w:p>
    <w:p>
      <w:pPr>
        <w:shd w:fill="F3EEE4" w:val="clear"/>
        <w:spacing w:after="60"/>
        <w:ind w:left="360"/>
      </w:pPr>
      <w:r>
        <w:rPr>
          <w:rFonts w:ascii="Consolas" w:cs="Consolas" w:eastAsia="Consolas" w:hAnsi="Consolas"/>
          <w:sz w:val="19"/>
          <w:szCs w:val="19"/>
        </w:rPr>
        <w:t xml:space="preserve">         anthropic-dangerous-direct-browser-access: true</w:t>
      </w:r>
    </w:p>
    <w:p>
      <w:pPr>
        <w:spacing w:after="200"/>
      </w:pPr>
    </w:p>
    <w:p>
      <w:pPr>
        <w:spacing w:after="160"/>
      </w:pPr>
      <w:r>
        <w:rPr>
          <w:sz w:val="22"/>
          <w:szCs w:val="22"/>
        </w:rPr>
        <w:t xml:space="preserve">The request contains one image block (base64 JPEG) and one text block instructing the model to return only a JSON object with the exact item-field keys, valued against the secondhand market. The response's text blocks are concatenated, stripped of any markdown fences, and JSON.parsed into the form fields. 401/403 responses surface a “key missing or invalid” message; other statuses surface the code. The dangerous-direct-browser-access header is required for CORS; it is acceptable here because the key belongs to the site owner, is entered only in their own browser, and is never present in published files.</w:t>
      </w:r>
    </w:p>
    <w:p>
      <w:pPr>
        <w:pStyle w:val="Heading1"/>
        <w:spacing w:after="160" w:before="360"/>
      </w:pPr>
      <w:r>
        <w:t xml:space="preserve">6. Customization Points</w:t>
      </w:r>
    </w:p>
    <w:p>
      <w:pPr>
        <w:pStyle w:val="ListParagraph"/>
        <w:numPr>
          <w:ilvl w:val="0"/>
          <w:numId w:val="2"/>
        </w:numPr>
      </w:pPr>
      <w:r>
        <w:rPr>
          <w:b/>
          <w:bCs/>
          <w:sz w:val="22"/>
          <w:szCs w:val="22"/>
        </w:rPr>
        <w:t xml:space="preserve">Colors</w:t>
      </w:r>
      <w:r>
        <w:rPr>
          <w:sz w:val="22"/>
          <w:szCs w:val="22"/>
        </w:rPr>
        <w:t xml:space="preserve"> — all in the :root CSS variables (paper, card, ink, green, brass, tag-red, line). Change once, applies everywhere.</w:t>
      </w:r>
    </w:p>
    <w:p>
      <w:pPr>
        <w:pStyle w:val="ListParagraph"/>
        <w:numPr>
          <w:ilvl w:val="0"/>
          <w:numId w:val="2"/>
        </w:numPr>
      </w:pPr>
      <w:r>
        <w:rPr>
          <w:b/>
          <w:bCs/>
          <w:sz w:val="22"/>
          <w:szCs w:val="22"/>
        </w:rPr>
        <w:t xml:space="preserve">Typography</w:t>
      </w:r>
      <w:r>
        <w:rPr>
          <w:sz w:val="22"/>
          <w:szCs w:val="22"/>
        </w:rPr>
        <w:t xml:space="preserve"> — Libre Caslon Text (display), Karla (body), Caveat (handwritten prices) via the single Google Fonts link.</w:t>
      </w:r>
    </w:p>
    <w:p>
      <w:pPr>
        <w:pStyle w:val="ListParagraph"/>
        <w:numPr>
          <w:ilvl w:val="0"/>
          <w:numId w:val="2"/>
        </w:numPr>
      </w:pPr>
      <w:r>
        <w:rPr>
          <w:b/>
          <w:bCs/>
          <w:sz w:val="22"/>
          <w:szCs w:val="22"/>
        </w:rPr>
        <w:t xml:space="preserve">Site name and tagline</w:t>
      </w:r>
      <w:r>
        <w:rPr>
          <w:sz w:val="22"/>
          <w:szCs w:val="22"/>
        </w:rPr>
        <w:t xml:space="preserve"> — the &lt;header&gt; block and &lt;title&gt;/meta description.</w:t>
      </w:r>
    </w:p>
    <w:p>
      <w:pPr>
        <w:pStyle w:val="ListParagraph"/>
        <w:numPr>
          <w:ilvl w:val="0"/>
          <w:numId w:val="2"/>
        </w:numPr>
      </w:pPr>
      <w:r>
        <w:rPr>
          <w:b/>
          <w:bCs/>
          <w:sz w:val="22"/>
          <w:szCs w:val="22"/>
        </w:rPr>
        <w:t xml:space="preserve">Social preview</w:t>
      </w:r>
      <w:r>
        <w:rPr>
          <w:sz w:val="22"/>
          <w:szCs w:val="22"/>
        </w:rPr>
        <w:t xml:space="preserve"> — the og:* meta tags; og:image must be an absolute URL on the live domain for scrapers, which do not execute JavaScript. Per-item previews would require per-item static pages (out of scope for a single-page site).</w:t>
      </w:r>
    </w:p>
    <w:p>
      <w:pPr>
        <w:pStyle w:val="ListParagraph"/>
        <w:numPr>
          <w:ilvl w:val="0"/>
          <w:numId w:val="2"/>
        </w:numPr>
      </w:pPr>
      <w:r>
        <w:rPr>
          <w:b/>
          <w:bCs/>
          <w:sz w:val="22"/>
          <w:szCs w:val="22"/>
        </w:rPr>
        <w:t xml:space="preserve">AI prompt</w:t>
      </w:r>
      <w:r>
        <w:rPr>
          <w:sz w:val="22"/>
          <w:szCs w:val="22"/>
        </w:rPr>
        <w:t xml:space="preserve"> — the prompt string inside scanWithClaude(); category list and platform examples can be edited freely as long as the JSON key contract is preserved.</w:t>
      </w:r>
    </w:p>
    <w:p>
      <w:pPr>
        <w:pStyle w:val="Heading1"/>
        <w:spacing w:after="160" w:before="360"/>
      </w:pPr>
      <w:r>
        <w:t xml:space="preserve">7. Known Limits &amp; Maintenance Notes</w:t>
      </w:r>
    </w:p>
    <w:p>
      <w:pPr>
        <w:pStyle w:val="ListParagraph"/>
        <w:numPr>
          <w:ilvl w:val="0"/>
          <w:numId w:val="2"/>
        </w:numPr>
      </w:pPr>
      <w:r>
        <w:rPr>
          <w:b/>
          <w:bCs/>
          <w:sz w:val="22"/>
          <w:szCs w:val="22"/>
        </w:rPr>
        <w:t xml:space="preserve">localStorage capacity</w:t>
      </w:r>
      <w:r>
        <w:rPr>
          <w:sz w:val="22"/>
          <w:szCs w:val="22"/>
        </w:rPr>
        <w:t xml:space="preserve"> — heavy photo use can hit browser quota; the export file is the source of truth, so regular downloads are the safety net. If the catalog outgrows this, the next step is moving photos back to the images/ folder or to object storage.</w:t>
      </w:r>
    </w:p>
    <w:p>
      <w:pPr>
        <w:pStyle w:val="ListParagraph"/>
        <w:numPr>
          <w:ilvl w:val="0"/>
          <w:numId w:val="2"/>
        </w:numPr>
      </w:pPr>
      <w:r>
        <w:rPr>
          <w:b/>
          <w:bCs/>
          <w:sz w:val="22"/>
          <w:szCs w:val="22"/>
        </w:rPr>
        <w:t xml:space="preserve">Single-editor design</w:t>
      </w:r>
      <w:r>
        <w:rPr>
          <w:sz w:val="22"/>
          <w:szCs w:val="22"/>
        </w:rPr>
        <w:t xml:space="preserve"> — edits live in one browser until exported; two people editing on different devices will diverge and last-publish wins. Fine for one seller; a backend would be needed for true multi-user editing.</w:t>
      </w:r>
    </w:p>
    <w:p>
      <w:pPr>
        <w:pStyle w:val="ListParagraph"/>
        <w:numPr>
          <w:ilvl w:val="0"/>
          <w:numId w:val="2"/>
        </w:numPr>
      </w:pPr>
      <w:r>
        <w:rPr>
          <w:b/>
          <w:bCs/>
          <w:sz w:val="22"/>
          <w:szCs w:val="22"/>
        </w:rPr>
        <w:t xml:space="preserve">No authentication</w:t>
      </w:r>
      <w:r>
        <w:rPr>
          <w:sz w:val="22"/>
          <w:szCs w:val="22"/>
        </w:rPr>
        <w:t xml:space="preserve"> — the Manage panel is hidden, not secured; a visitor who opens it can only change their own browser's view, never the published site, which is why this is acceptable.</w:t>
      </w:r>
    </w:p>
    <w:p>
      <w:pPr>
        <w:pStyle w:val="ListParagraph"/>
        <w:numPr>
          <w:ilvl w:val="0"/>
          <w:numId w:val="2"/>
        </w:numPr>
      </w:pPr>
      <w:r>
        <w:rPr>
          <w:b/>
          <w:bCs/>
          <w:sz w:val="22"/>
          <w:szCs w:val="22"/>
        </w:rPr>
        <w:t xml:space="preserve">prompt()/alert() dialogs</w:t>
      </w:r>
      <w:r>
        <w:rPr>
          <w:sz w:val="22"/>
          <w:szCs w:val="22"/>
        </w:rPr>
        <w:t xml:space="preserve"> — used for sold-price entry and confirmations; simple and reliable, but replaceable with custom modals if a more polished feel is wanted later.</w:t>
      </w:r>
    </w:p>
    <w:p>
      <w:pPr>
        <w:pBdr>
          <w:top w:val="single" w:color="A9853C" w:sz="4" w:space="8"/>
        </w:pBdr>
        <w:spacing w:before="500"/>
        <w:jc w:val="center"/>
      </w:pPr>
      <w:r>
        <w:rPr>
          <w:i/>
          <w:iCs/>
          <w:color w:val="6B675C"/>
          <w:sz w:val="19"/>
          <w:szCs w:val="19"/>
        </w:rPr>
        <w:t xml:space="preserve">Estate Sale Catalog — built July 2026. Pair this document with the Owner's Manual for the user-facing workflow.</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B2A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Georgia" w:cs="Georgia" w:eastAsia="Georgia" w:hAnsi="Georgia"/>
      <w:b/>
      <w:bCs/>
      <w:color w:val="2C3F2F"/>
      <w:sz w:val="32"/>
      <w:szCs w:val="32"/>
    </w:rPr>
  </w:style>
  <w:style w:type="paragraph" w:styleId="Heading2">
    <w:name w:val="Heading 2"/>
    <w:basedOn w:val="Normal"/>
    <w:next w:val="Normal"/>
    <w:qFormat/>
    <w:rPr>
      <w:rFonts w:ascii="Georgia" w:cs="Georgia" w:eastAsia="Georgia" w:hAnsi="Georgia"/>
      <w:b/>
      <w:bCs/>
      <w:color w:val="A985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2026-07-20T03:48:55.837Z</dcterms:created>
  <dcterms:modified xsi:type="dcterms:W3CDTF">2026-07-20T03:48:55.838Z</dcterms:modified>
</cp:coreProperties>
</file>

<file path=docProps/custom.xml><?xml version="1.0" encoding="utf-8"?>
<Properties xmlns="http://schemas.openxmlformats.org/officeDocument/2006/custom-properties" xmlns:vt="http://schemas.openxmlformats.org/officeDocument/2006/docPropsVTypes"/>
</file>