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Grain Agent V008 接口与业务规范说明书</w:t>
      </w:r>
    </w:p>
    <w:p>
      <w:pPr>
        <w:pStyle w:val="Heading1"/>
      </w:pPr>
      <w:r>
        <w:t>1. 接入仓房列表接口</w:t>
      </w:r>
    </w:p>
    <w:p>
      <w:r>
        <w:t>为了让智能体能够识别并映射用户的模糊指令（如 "P1仓"），系统新增了接入仓房列表接口。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house_code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24位 WMS 系统唯一编码</w:t>
            </w:r>
          </w:p>
        </w:tc>
      </w:tr>
      <w:tr>
        <w:tc>
          <w:tcPr>
            <w:tcW w:type="dxa" w:w="2880"/>
          </w:tcPr>
          <w:p>
            <w:r>
              <w:t>house_name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仓房完整名称（如：西北库区 P1）</w:t>
            </w:r>
          </w:p>
        </w:tc>
      </w:tr>
      <w:tr>
        <w:tc>
          <w:tcPr>
            <w:tcW w:type="dxa" w:w="2880"/>
          </w:tcPr>
          <w:p>
            <w:r>
              <w:t>short_name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英文短名称或代号（如：P1）</w:t>
            </w:r>
          </w:p>
        </w:tc>
      </w:tr>
    </w:tbl>
    <w:p>
      <w:pPr>
        <w:pStyle w:val="Heading1"/>
      </w:pPr>
      <w:r>
        <w:t>2. API 访问字符串拼接规范</w:t>
      </w:r>
    </w:p>
    <w:p>
      <w:r>
        <w:t>智能体在调用 WMS 接口时，必须遵循以下拼接规律：</w:t>
      </w:r>
    </w:p>
    <w:p>
      <w:pPr>
        <w:pStyle w:val="ListBullet"/>
      </w:pPr>
      <w:r>
        <w:t>1) URL 结构：BASE_URL + /api/wms/{类别}/{动作}</w:t>
      </w:r>
    </w:p>
    <w:p>
      <w:pPr>
        <w:pStyle w:val="ListBullet"/>
      </w:pPr>
      <w:r>
        <w:t>2) 强制参数：所有数据请求接口（粮温、气体等）必须携带 house_code 参数。</w:t>
      </w:r>
    </w:p>
    <w:p>
      <w:pPr>
        <w:pStyle w:val="ListBullet"/>
      </w:pPr>
      <w:r>
        <w:t>3) 时间编码：start_time 和 end_time 参数必须包含空格（格式为 YYYY-MM-DD HH:MM:SS），并在拼接时进行标准 URL 编码。</w:t>
      </w:r>
    </w:p>
    <w:p>
      <w:pPr/>
      <w:r>
        <w:t>示例：</w:t>
      </w:r>
    </w:p>
    <w:p>
      <w:pPr>
        <w:pStyle w:val="Quote"/>
      </w:pPr>
      <w:r>
        <w:t>http://.../grain/temperature?house_code=...&amp;start_time=2026-01-01%2000:00:00</w:t>
      </w:r>
    </w:p>
    <w:p>
      <w:pPr>
        <w:pStyle w:val="Heading1"/>
      </w:pPr>
      <w:r>
        <w:t>3. 数据稀疏性熔断规则</w:t>
      </w:r>
    </w:p>
    <w:p>
      <w:r>
        <w:t>为保证分析结果的准确性，当历史数据点不足时，系统将触发熔断保护并给出友好提示：</w:t>
      </w:r>
    </w:p>
    <w:p>
      <w:r>
        <w:rPr>
          <w:b/>
        </w:rPr>
        <w:t>1) 绘图熔断：</w:t>
      </w:r>
      <w:r>
        <w:t>当检测记录次数 &lt;= 1 时，禁止生成三温图、两湿图或趋势图。</w:t>
      </w:r>
    </w:p>
    <w:p>
      <w:r>
        <w:rPr>
          <w:b/>
        </w:rPr>
        <w:t>2) 预测熔断：</w:t>
      </w:r>
      <w:r>
        <w:t>当检测记录次数 &lt;= 2 时，禁止生成短期趋势预测分析。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