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粮情分析报告 (daily)</w:t>
      </w:r>
    </w:p>
    <w:p>
      <w:r>
        <w:t>生成时间：2026-01-23 10:34:35</w:t>
      </w:r>
    </w:p>
    <w:p>
      <w:pPr>
        <w:pStyle w:val="Heading1"/>
      </w:pPr>
      <w:r>
        <w:t>15号仓</w:t>
      </w:r>
    </w:p>
    <w:p>
      <w:r>
        <w:t>仓房：15号仓 / 库点：中央储备粮某直属库</w:t>
      </w:r>
    </w:p>
    <w:p>
      <w:r>
        <w:t>三温图：数据不足，无法生成图表</w:t>
      </w:r>
    </w:p>
    <w:p>
      <w:r>
        <w:t>两湿图：数据不足，无法生成图表</w:t>
      </w:r>
    </w:p>
    <w:p>
      <w:pPr>
        <w:pStyle w:val="Heading2"/>
      </w:pPr>
      <w:r>
        <w:t>1. 仓房基本情况</w:t>
      </w:r>
    </w:p>
    <w:p>
      <w:r>
        <w:t>仓房编号：15</w:t>
      </w:r>
    </w:p>
    <w:p>
      <w:r>
        <w:t>仓房名称：15号仓</w:t>
      </w:r>
    </w:p>
    <w:p>
      <w:r>
        <w:t>仓房类型：平房仓</w:t>
      </w:r>
    </w:p>
    <w:p>
      <w:r>
        <w:t>储粮性质：None</w:t>
      </w:r>
    </w:p>
    <w:p>
      <w:r>
        <w:t>粮食品种：None</w:t>
      </w:r>
    </w:p>
    <w:p>
      <w:r>
        <w:t>设计仓容：0.0 吨</w:t>
      </w:r>
    </w:p>
    <w:p>
      <w:r>
        <w:t>实际粮高：None 米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