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TP2 — Reconstruction de l’image JPEG compressée</w:t>
      </w:r>
    </w:p>
    <w:p>
      <w:pPr>
        <w:jc w:val="center"/>
      </w:pPr>
      <w:r>
        <w:rPr>
          <w:i/>
        </w:rPr>
        <w:t>Compression par DCT par blocs, quantification et reconstruction YCbCr → RGB</w:t>
      </w:r>
    </w:p>
    <w:tbl>
      <w:tblPr>
        <w:tblStyle w:val="LightShading-Accent1"/>
        <w:tblW w:type="auto" w:w="0"/>
        <w:jc w:val="center"/>
        <w:tblLook w:firstColumn="1" w:firstRow="1" w:lastColumn="0" w:lastRow="0" w:noHBand="0" w:noVBand="1" w:val="04A0"/>
      </w:tblPr>
      <w:tblGrid>
        <w:gridCol w:w="5040"/>
        <w:gridCol w:w="5040"/>
      </w:tblGrid>
      <w:tr>
        <w:tc>
          <w:tcPr>
            <w:tcW w:type="dxa" w:w="5040"/>
            <w:shd w:fill="D9EAF7"/>
            <w:vAlign w:val="center"/>
          </w:tcPr>
          <w:p>
            <w:r>
              <w:t>Informations à compléter</w:t>
            </w:r>
          </w:p>
        </w:tc>
        <w:tc>
          <w:tcPr>
            <w:tcW w:type="dxa" w:w="5040"/>
            <w:shd w:fill="D9EAF7"/>
            <w:vAlign w:val="center"/>
          </w:tcPr>
          <w:p>
            <w:r/>
          </w:p>
        </w:tc>
      </w:tr>
      <w:tr>
        <w:tc>
          <w:tcPr>
            <w:tcW w:type="dxa" w:w="5040"/>
            <w:vAlign w:val="center"/>
          </w:tcPr>
          <w:p>
            <w:r>
              <w:t>Nom et prénom</w:t>
            </w:r>
          </w:p>
        </w:tc>
        <w:tc>
          <w:tcPr>
            <w:tcW w:type="dxa" w:w="5040"/>
            <w:vAlign w:val="center"/>
          </w:tcPr>
          <w:p>
            <w:r>
              <w:t>________________________________________</w:t>
            </w:r>
          </w:p>
        </w:tc>
      </w:tr>
      <w:tr>
        <w:tc>
          <w:tcPr>
            <w:tcW w:type="dxa" w:w="5040"/>
            <w:vAlign w:val="center"/>
          </w:tcPr>
          <w:p>
            <w:r>
              <w:t>Numéro UGE</w:t>
            </w:r>
          </w:p>
        </w:tc>
        <w:tc>
          <w:tcPr>
            <w:tcW w:type="dxa" w:w="5040"/>
            <w:vAlign w:val="center"/>
          </w:tcPr>
          <w:p>
            <w:r>
              <w:t>________________________________________</w:t>
            </w:r>
          </w:p>
        </w:tc>
      </w:tr>
      <w:tr>
        <w:tc>
          <w:tcPr>
            <w:tcW w:type="dxa" w:w="5040"/>
            <w:vAlign w:val="center"/>
          </w:tcPr>
          <w:p>
            <w:r>
              <w:t>Groupe de TD</w:t>
            </w:r>
          </w:p>
        </w:tc>
        <w:tc>
          <w:tcPr>
            <w:tcW w:type="dxa" w:w="5040"/>
            <w:vAlign w:val="center"/>
          </w:tcPr>
          <w:p>
            <w:r>
              <w:t>________________________________________</w:t>
            </w:r>
          </w:p>
        </w:tc>
      </w:tr>
      <w:tr>
        <w:tc>
          <w:tcPr>
            <w:tcW w:type="dxa" w:w="5040"/>
            <w:vAlign w:val="center"/>
          </w:tcPr>
          <w:p>
            <w:r>
              <w:t>Image étudiée</w:t>
            </w:r>
          </w:p>
        </w:tc>
        <w:tc>
          <w:tcPr>
            <w:tcW w:type="dxa" w:w="5040"/>
            <w:vAlign w:val="center"/>
          </w:tcPr>
          <w:p>
            <w:r>
              <w:t>peppers.tiff (512 × 512 pixels)</w:t>
            </w:r>
          </w:p>
        </w:tc>
      </w:tr>
    </w:tbl>
    <w:p>
      <w:pPr>
        <w:pStyle w:val="Heading1"/>
      </w:pPr>
      <w:r>
        <w:t>Objectif et chaîne de traitement</w:t>
      </w:r>
    </w:p>
    <w:p>
      <w:r>
        <w:t>Le TP met en œuvre une chaîne JPEG simplifiée : lecture RGB, conversion YCbCr, DCT 8 × 8, quantification, quantification inverse, DCT inverse et retour en RGB. Le script principal fourni est TP2_Main.m (identique à Main.m). Les fonctions impliquées dans la reconstruction sont citées dans chaque réponse.</w:t>
      </w:r>
    </w:p>
    <w:p>
      <w:r>
        <w:t>Réglage utilisé pour les résultats ci-dessous : S = 0,5, avec Qy = Q luminance / S pour Y et Qc = Q chrominance / S pour Cb et Cr. Dans le script, diminuer S augmente les pas de quantification et rend donc la compression plus forte.</w:t>
      </w:r>
    </w:p>
    <w:p>
      <w:pPr>
        <w:pStyle w:val="Heading1"/>
      </w:pPr>
      <w:r>
        <w:t>Question 1 — Quantification inverse</w:t>
      </w:r>
    </w:p>
    <w:p>
      <w:r>
        <w:t>Fonction : quant_MxM_bloc_iquant, définie dans quant_MxM_bloc_iquant.m. Elle traite séparément chaque bloc de 8 × 8. Dans Main.m / TP2_Main.m, elle est appelée pour Y avec Qy, puis pour Cb et Cr avec Qc.</w:t>
      </w:r>
    </w:p>
    <w:p>
      <w:r>
        <w:t>La quantification directe est Fq(u,v) = round(F(u,v) / Q(u,v)). La quantification inverse reconstruit les coefficients : F̂(u,v) = Fq(u,v) × Q(u,v). C’est exactement la multiplication élément par élément faite dans le fichier. F̂ est une approximation de F : l’arrondi a supprimé l’information située à l’intérieur de chaque intervalle de largeur Q.</w:t>
      </w:r>
    </w:p>
    <w:p>
      <w:r>
        <w:t>Avant quantification, DCT puis DCT inverse restituent pratiquement le bloc initial (à l’erreur numérique près). Après quantification, beaucoup de petits coefficients deviennent zéro. Avec peppers.tiff et S = 0,5, la proportion de coefficients quantifiés nuls est d’environ 93,03 % pour Y, 97,42 % pour Cb et 97,18 % pour Cr. Le signal reconstruit perd donc surtout les détails fins et les variations chromatiques subtiles. Ces pourcentages de zéros sont un indicateur de parcimonie, pas un taux de compression binaire exact.</w:t>
      </w:r>
    </w:p>
    <w:p>
      <w:pPr>
        <w:pStyle w:val="Heading1"/>
      </w:pPr>
      <w:r>
        <w:t>Question 2 — DCT inverse (IDCT)</w:t>
      </w:r>
    </w:p>
    <w:p>
      <w:r>
        <w:t>Fonctions : image_MxM_block_idct.m applique la reconstruction à tous les blocs ; pdip_inv_dct2.m calcule l’IDCT d’un bloc. La première fonction appelle la seconde après quantification inverse, composante par composante.</w:t>
      </w:r>
    </w:p>
    <w:p>
      <w:r>
        <w:t>La matrice orthonormale de DCT-II est C[k,n] = αk cos(π(2n+1)k/(2M)), avec α0 = 1/√M et αk = √(2/M) pour k &gt; 0. Pour un bloc X, les coefficients sont F = C X Cᵀ ; l’inverse est X̂ = Cᵀ F̂ C. Ici M = 8. Sans quantification, Cᵀ(CXCᵀ)C = X, car C est orthonormale. Après quantification, la même IDCT transforme l’erreur sur les coefficients en erreur spatiale : légers flous, perte de texture et parfois artefacts de blocs.</w:t>
      </w:r>
    </w:p>
    <w:p>
      <w:r>
        <w:t>Les plans obtenus restent dans l’espace YCbCr et sont assemblés dans output_image_ycbcr avant la conversion couleur.</w:t>
      </w:r>
    </w:p>
    <w:p>
      <w:pPr>
        <w:pStyle w:val="Heading1"/>
      </w:pPr>
      <w:r>
        <w:t>Question 3 — Conversion YCbCr vers RGB</w:t>
      </w:r>
    </w:p>
    <w:p>
      <w:r>
        <w:t>Fonction : ycbcr2rgb_, définie dans ycbcr2rgb_.m. Elle utilise les équations inverses (approchées) de la conversion personnalisée rgb2ycbcr_ :</w:t>
      </w:r>
    </w:p>
    <w:p>
      <w:pPr>
        <w:pStyle w:val="ListBullet"/>
      </w:pPr>
      <w:r>
        <w:t>R = Y + 1,402 Cr</w:t>
      </w:r>
    </w:p>
    <w:p>
      <w:pPr>
        <w:pStyle w:val="ListBullet"/>
      </w:pPr>
      <w:r>
        <w:t>G = Y − 0,34414 Cb − 0,71414 Cr</w:t>
      </w:r>
    </w:p>
    <w:p>
      <w:pPr>
        <w:pStyle w:val="ListBullet"/>
      </w:pPr>
      <w:r>
        <w:t>B = Y + 1,772 Cb</w:t>
      </w:r>
    </w:p>
    <w:p>
      <w:r>
        <w:t>Dans ce TP, Cb et Cr sont centrés autour de zéro (il n’y a pas d’offset +128 dans les fonctions fournies). L’image reconstruite peut contenir des valeurs légèrement inférieures à 0 ou supérieures à 255 ; elles sont écrêtées uniquement pour l’affichage, afin de rester dans la plage RGB affichable.</w:t>
      </w:r>
    </w:p>
    <w:p>
      <w:pPr>
        <w:pStyle w:val="Heading1"/>
      </w:pPr>
      <w:r>
        <w:t>Question 4 — Comparaison et principe JPEG</w:t>
      </w:r>
    </w:p>
    <w:p>
      <w:r>
        <w:t>L’image reconstruite conserve les formes, les couleurs dominantes et la structure générale de l’originale. Les contours fins, les textures et les transitions de couleur sont moins fidèles : ce sont les conséquences de la suppression des hautes fréquences lors de la quantification. L’effet devient plus visible lorsque S diminue.</w:t>
      </w:r>
    </w:p>
    <w:p>
      <w:r>
        <w:t>Avant quantification, les coefficients DCT sont réels et beaucoup sont petits mais non nuls. Après quantification, les fréquences hautes, situées en bas à droite des blocs, sont divisées par de grands pas puis arrondies à zéro. Y décrit la luminance et reste importante pour la perception des contours ; les tables chromatiques Qc sont volontairement plus fortes, car l’œil tolère davantage les pertes de couleur que les pertes de luminance. Les DC et basses fréquences restent généralement mieux préservées.</w:t>
      </w:r>
    </w:p>
    <w:p>
      <w:r>
        <w:t>Principe général : JPEG convertit la couleur vers YCbCr (souvent avec sous-échantillonnage chromatique), découpe en blocs 8 × 8, applique la DCT, quantifie les coefficients, les parcourt en zigzag puis code efficacement les suites de zéros et les coefficients (différentiel DC, RLE et codage entropique, par exemple Huffman). La quantification est l’étape avec perte ; le zigzag et le codage entropique exploitent la redondance. Le programme du TP implémente la transformation et la quantification, mais pas le sous-échantillonnage chromatique ni la génération d’un véritable flux JPEG : les taux de zéros ne sont donc pas un ratio fichier/fichier.</w:t>
      </w:r>
    </w:p>
    <w:p>
      <w:r>
        <w:drawing>
          <wp:inline xmlns:a="http://schemas.openxmlformats.org/drawingml/2006/main" xmlns:pic="http://schemas.openxmlformats.org/drawingml/2006/picture">
            <wp:extent cx="5943600" cy="3009803"/>
            <wp:docPr id="1" name="Picture 1"/>
            <wp:cNvGraphicFramePr>
              <a:graphicFrameLocks noChangeAspect="1"/>
            </wp:cNvGraphicFramePr>
            <a:graphic>
              <a:graphicData uri="http://schemas.openxmlformats.org/drawingml/2006/picture">
                <pic:pic>
                  <pic:nvPicPr>
                    <pic:cNvPr id="0" name="comparaison_originale_reconstruite.png"/>
                    <pic:cNvPicPr/>
                  </pic:nvPicPr>
                  <pic:blipFill>
                    <a:blip r:embed="rId11"/>
                    <a:stretch>
                      <a:fillRect/>
                    </a:stretch>
                  </pic:blipFill>
                  <pic:spPr>
                    <a:xfrm>
                      <a:off x="0" y="0"/>
                      <a:ext cx="5943600" cy="3009803"/>
                    </a:xfrm>
                    <a:prstGeom prst="rect"/>
                  </pic:spPr>
                </pic:pic>
              </a:graphicData>
            </a:graphic>
          </wp:inline>
        </w:drawing>
      </w:r>
    </w:p>
    <w:p>
      <w:pPr>
        <w:pStyle w:val="Caption"/>
        <w:jc w:val="center"/>
      </w:pPr>
      <w:r>
        <w:t>Figure 1 — peppers.tiff originale et reconstruction à S = 0,5.</w:t>
      </w:r>
    </w:p>
    <w:p>
      <w:r>
        <w:drawing>
          <wp:inline xmlns:a="http://schemas.openxmlformats.org/drawingml/2006/main" xmlns:pic="http://schemas.openxmlformats.org/drawingml/2006/picture">
            <wp:extent cx="5943600" cy="3800740"/>
            <wp:docPr id="2" name="Picture 2"/>
            <wp:cNvGraphicFramePr>
              <a:graphicFrameLocks noChangeAspect="1"/>
            </wp:cNvGraphicFramePr>
            <a:graphic>
              <a:graphicData uri="http://schemas.openxmlformats.org/drawingml/2006/picture">
                <pic:pic>
                  <pic:nvPicPr>
                    <pic:cNvPr id="0" name="coefficients_DCT.png"/>
                    <pic:cNvPicPr/>
                  </pic:nvPicPr>
                  <pic:blipFill>
                    <a:blip r:embed="rId12"/>
                    <a:stretch>
                      <a:fillRect/>
                    </a:stretch>
                  </pic:blipFill>
                  <pic:spPr>
                    <a:xfrm>
                      <a:off x="0" y="0"/>
                      <a:ext cx="5943600" cy="3800740"/>
                    </a:xfrm>
                    <a:prstGeom prst="rect"/>
                  </pic:spPr>
                </pic:pic>
              </a:graphicData>
            </a:graphic>
          </wp:inline>
        </w:drawing>
      </w:r>
    </w:p>
    <w:p>
      <w:pPr>
        <w:pStyle w:val="Caption"/>
        <w:jc w:val="center"/>
      </w:pPr>
      <w:r>
        <w:t>Figure 2 — Coefficients DCT avant et après quantification pour Y, Cb et Cr.</w:t>
      </w:r>
    </w:p>
    <w:p>
      <w:pPr>
        <w:pStyle w:val="Heading1"/>
      </w:pPr>
      <w:r>
        <w:t>Question 4 (suite de l’énoncé) — Blocs (0,0) et (8,8)</w:t>
      </w:r>
    </w:p>
    <w:p>
      <w:r>
        <w:t>Les positions sont interprétées comme des indices de bloc commençant à zéro, conformément à la fonction image_one_block_dct : (0,0) commence au pixel (1,1) en indices MATLAB ; (8,8) commence au pixel (65,65). Le second bloc échantillonne donc une autre région de l’image. Les blocs ne représentent pas un déplacement de huit pixels, mais de huit blocs, soit 64 pixels.</w:t>
      </w:r>
    </w:p>
    <w:tbl>
      <w:tblPr>
        <w:tblStyle w:val="LightShading-Accent1"/>
        <w:tblW w:type="auto" w:w="0"/>
        <w:jc w:val="center"/>
        <w:tblLook w:firstColumn="1" w:firstRow="1" w:lastColumn="0" w:lastRow="0" w:noHBand="0" w:noVBand="1" w:val="04A0"/>
      </w:tblPr>
      <w:tblGrid>
        <w:gridCol w:w="2520"/>
        <w:gridCol w:w="2520"/>
        <w:gridCol w:w="2520"/>
        <w:gridCol w:w="2520"/>
      </w:tblGrid>
      <w:tr>
        <w:tc>
          <w:tcPr>
            <w:tcW w:type="dxa" w:w="2520"/>
            <w:shd w:fill="D9EAF7"/>
            <w:vAlign w:val="center"/>
          </w:tcPr>
          <w:p>
            <w:r>
              <w:t>Bloc (indices de bloc)</w:t>
            </w:r>
          </w:p>
        </w:tc>
        <w:tc>
          <w:tcPr>
            <w:tcW w:type="dxa" w:w="2520"/>
            <w:shd w:fill="D9EAF7"/>
            <w:vAlign w:val="center"/>
          </w:tcPr>
          <w:p>
            <w:r>
              <w:t>Y : DC / nb non nuls</w:t>
            </w:r>
          </w:p>
        </w:tc>
        <w:tc>
          <w:tcPr>
            <w:tcW w:type="dxa" w:w="2520"/>
            <w:shd w:fill="D9EAF7"/>
            <w:vAlign w:val="center"/>
          </w:tcPr>
          <w:p>
            <w:r>
              <w:t>Cb : DC / nb non nuls</w:t>
            </w:r>
          </w:p>
        </w:tc>
        <w:tc>
          <w:tcPr>
            <w:tcW w:type="dxa" w:w="2520"/>
            <w:shd w:fill="D9EAF7"/>
            <w:vAlign w:val="center"/>
          </w:tcPr>
          <w:p>
            <w:r>
              <w:t>Cr : DC / nb non nuls</w:t>
            </w:r>
          </w:p>
        </w:tc>
      </w:tr>
      <w:tr>
        <w:tc>
          <w:tcPr>
            <w:tcW w:type="dxa" w:w="2520"/>
            <w:vAlign w:val="center"/>
          </w:tcPr>
          <w:p>
            <w:r>
              <w:t>(0,0)</w:t>
            </w:r>
          </w:p>
        </w:tc>
        <w:tc>
          <w:tcPr>
            <w:tcW w:type="dxa" w:w="2520"/>
            <w:vAlign w:val="center"/>
          </w:tcPr>
          <w:p>
            <w:r>
              <w:t>772,83 / 12</w:t>
            </w:r>
          </w:p>
        </w:tc>
        <w:tc>
          <w:tcPr>
            <w:tcW w:type="dxa" w:w="2520"/>
            <w:vAlign w:val="center"/>
          </w:tcPr>
          <w:p>
            <w:r>
              <w:t>−200,07 / 4</w:t>
            </w:r>
          </w:p>
        </w:tc>
        <w:tc>
          <w:tcPr>
            <w:tcW w:type="dxa" w:w="2520"/>
            <w:vAlign w:val="center"/>
          </w:tcPr>
          <w:p>
            <w:r>
              <w:t>436,28 / 1</w:t>
            </w:r>
          </w:p>
        </w:tc>
      </w:tr>
      <w:tr>
        <w:tc>
          <w:tcPr>
            <w:tcW w:type="dxa" w:w="2520"/>
            <w:vAlign w:val="center"/>
          </w:tcPr>
          <w:p>
            <w:r>
              <w:t>(8,8)</w:t>
            </w:r>
          </w:p>
        </w:tc>
        <w:tc>
          <w:tcPr>
            <w:tcW w:type="dxa" w:w="2520"/>
            <w:vAlign w:val="center"/>
          </w:tcPr>
          <w:p>
            <w:r>
              <w:t>1262,41 / 5</w:t>
            </w:r>
          </w:p>
        </w:tc>
        <w:tc>
          <w:tcPr>
            <w:tcW w:type="dxa" w:w="2520"/>
            <w:vAlign w:val="center"/>
          </w:tcPr>
          <w:p>
            <w:r>
              <w:t>−298,36 / 2</w:t>
            </w:r>
          </w:p>
        </w:tc>
        <w:tc>
          <w:tcPr>
            <w:tcW w:type="dxa" w:w="2520"/>
            <w:vAlign w:val="center"/>
          </w:tcPr>
          <w:p>
            <w:r>
              <w:t>−149,02 / 1</w:t>
            </w:r>
          </w:p>
        </w:tc>
      </w:tr>
    </w:tbl>
    <w:p>
      <w:r>
        <w:t>Les valeurs DC résument l’énergie moyenne du bloc selon chaque plan, avec la convention de conversion employée. Après quantification S = 0,5, le bloc (0,0) garde 12 coefficients Y, 4 Cb et 1 Cr non nuls ; le bloc (8,8) en garde respectivement 5, 2 et 1. La différence reflète le contenu local : texture, contours et couleurs varient d’un bloc à l’autre. Les colonnes de la figure affichent la magnitude de la DCT et les coefficients quantifiés.</w:t>
      </w:r>
    </w:p>
    <w:p>
      <w:r>
        <w:drawing>
          <wp:inline xmlns:a="http://schemas.openxmlformats.org/drawingml/2006/main" xmlns:pic="http://schemas.openxmlformats.org/drawingml/2006/picture">
            <wp:extent cx="5852160" cy="3445411"/>
            <wp:docPr id="3" name="Picture 3"/>
            <wp:cNvGraphicFramePr>
              <a:graphicFrameLocks noChangeAspect="1"/>
            </wp:cNvGraphicFramePr>
            <a:graphic>
              <a:graphicData uri="http://schemas.openxmlformats.org/drawingml/2006/picture">
                <pic:pic>
                  <pic:nvPicPr>
                    <pic:cNvPr id="0" name="bloc_0_0.png"/>
                    <pic:cNvPicPr/>
                  </pic:nvPicPr>
                  <pic:blipFill>
                    <a:blip r:embed="rId13"/>
                    <a:stretch>
                      <a:fillRect/>
                    </a:stretch>
                  </pic:blipFill>
                  <pic:spPr>
                    <a:xfrm>
                      <a:off x="0" y="0"/>
                      <a:ext cx="5852160" cy="3445411"/>
                    </a:xfrm>
                    <a:prstGeom prst="rect"/>
                  </pic:spPr>
                </pic:pic>
              </a:graphicData>
            </a:graphic>
          </wp:inline>
        </w:drawing>
      </w:r>
    </w:p>
    <w:p>
      <w:pPr>
        <w:pStyle w:val="Caption"/>
        <w:jc w:val="center"/>
      </w:pPr>
      <w:r>
        <w:t>Figure 3 — DCT et coefficients quantifiés du bloc (0,0).</w:t>
      </w:r>
    </w:p>
    <w:p>
      <w:r>
        <w:drawing>
          <wp:inline xmlns:a="http://schemas.openxmlformats.org/drawingml/2006/main" xmlns:pic="http://schemas.openxmlformats.org/drawingml/2006/picture">
            <wp:extent cx="5852160" cy="3445411"/>
            <wp:docPr id="4" name="Picture 4"/>
            <wp:cNvGraphicFramePr>
              <a:graphicFrameLocks noChangeAspect="1"/>
            </wp:cNvGraphicFramePr>
            <a:graphic>
              <a:graphicData uri="http://schemas.openxmlformats.org/drawingml/2006/picture">
                <pic:pic>
                  <pic:nvPicPr>
                    <pic:cNvPr id="0" name="bloc_8_8.png"/>
                    <pic:cNvPicPr/>
                  </pic:nvPicPr>
                  <pic:blipFill>
                    <a:blip r:embed="rId14"/>
                    <a:stretch>
                      <a:fillRect/>
                    </a:stretch>
                  </pic:blipFill>
                  <pic:spPr>
                    <a:xfrm>
                      <a:off x="0" y="0"/>
                      <a:ext cx="5852160" cy="3445411"/>
                    </a:xfrm>
                    <a:prstGeom prst="rect"/>
                  </pic:spPr>
                </pic:pic>
              </a:graphicData>
            </a:graphic>
          </wp:inline>
        </w:drawing>
      </w:r>
    </w:p>
    <w:p>
      <w:pPr>
        <w:pStyle w:val="Caption"/>
        <w:jc w:val="center"/>
      </w:pPr>
      <w:r>
        <w:t>Figure 4 — DCT et coefficients quantifiés du bloc (8,8).</w:t>
      </w:r>
    </w:p>
    <w:p>
      <w:pPr>
        <w:pStyle w:val="Heading1"/>
      </w:pPr>
      <w:r>
        <w:t>Question 5 — Influence des tables de quantification</w:t>
      </w:r>
    </w:p>
    <w:p>
      <w:r>
        <w:t>La table est modifiée en changeant S ou en remplaçant Qy/Qc dans TP2_Main.m. Le tableau suivant compare les trois réglages de S sur peppers.tiff (les autres paramètres sont inchangés). Plus le pas augmente, plus les coefficients sont éliminés, le PSNR diminue et la perte devient visible.</w:t>
      </w:r>
    </w:p>
    <w:tbl>
      <w:tblPr>
        <w:tblStyle w:val="LightShading-Accent1"/>
        <w:tblW w:type="auto" w:w="0"/>
        <w:jc w:val="center"/>
        <w:tblLook w:firstColumn="1" w:firstRow="1" w:lastColumn="0" w:lastRow="0" w:noHBand="0" w:noVBand="1" w:val="04A0"/>
      </w:tblPr>
      <w:tblGrid>
        <w:gridCol w:w="2016"/>
        <w:gridCol w:w="2016"/>
        <w:gridCol w:w="2016"/>
        <w:gridCol w:w="2016"/>
        <w:gridCol w:w="2016"/>
      </w:tblGrid>
      <w:tr>
        <w:tc>
          <w:tcPr>
            <w:tcW w:type="dxa" w:w="2016"/>
            <w:shd w:fill="D9EAF7"/>
            <w:vAlign w:val="center"/>
          </w:tcPr>
          <w:p>
            <w:r>
              <w:t>S</w:t>
            </w:r>
          </w:p>
        </w:tc>
        <w:tc>
          <w:tcPr>
            <w:tcW w:type="dxa" w:w="2016"/>
            <w:shd w:fill="D9EAF7"/>
            <w:vAlign w:val="center"/>
          </w:tcPr>
          <w:p>
            <w:r>
              <w:t>MSE RGB</w:t>
            </w:r>
          </w:p>
        </w:tc>
        <w:tc>
          <w:tcPr>
            <w:tcW w:type="dxa" w:w="2016"/>
            <w:shd w:fill="D9EAF7"/>
            <w:vAlign w:val="center"/>
          </w:tcPr>
          <w:p>
            <w:r>
              <w:t>PSNR (dB)</w:t>
            </w:r>
          </w:p>
        </w:tc>
        <w:tc>
          <w:tcPr>
            <w:tcW w:type="dxa" w:w="2016"/>
            <w:shd w:fill="D9EAF7"/>
            <w:vAlign w:val="center"/>
          </w:tcPr>
          <w:p>
            <w:r>
              <w:t>SNR (dB)</w:t>
            </w:r>
          </w:p>
        </w:tc>
        <w:tc>
          <w:tcPr>
            <w:tcW w:type="dxa" w:w="2016"/>
            <w:shd w:fill="D9EAF7"/>
            <w:vAlign w:val="center"/>
          </w:tcPr>
          <w:p>
            <w:r>
              <w:t>Zéros Y / Cb / Cr</w:t>
            </w:r>
          </w:p>
        </w:tc>
      </w:tr>
      <w:tr>
        <w:tc>
          <w:tcPr>
            <w:tcW w:type="dxa" w:w="2016"/>
            <w:vAlign w:val="center"/>
          </w:tcPr>
          <w:p>
            <w:r>
              <w:t>1,00</w:t>
            </w:r>
          </w:p>
        </w:tc>
        <w:tc>
          <w:tcPr>
            <w:tcW w:type="dxa" w:w="2016"/>
            <w:vAlign w:val="center"/>
          </w:tcPr>
          <w:p>
            <w:r>
              <w:t>47,71</w:t>
            </w:r>
          </w:p>
        </w:tc>
        <w:tc>
          <w:tcPr>
            <w:tcW w:type="dxa" w:w="2016"/>
            <w:vAlign w:val="center"/>
          </w:tcPr>
          <w:p>
            <w:r>
              <w:t>31,34</w:t>
            </w:r>
          </w:p>
        </w:tc>
        <w:tc>
          <w:tcPr>
            <w:tcW w:type="dxa" w:w="2016"/>
            <w:vAlign w:val="center"/>
          </w:tcPr>
          <w:p>
            <w:r>
              <w:t>25,42</w:t>
            </w:r>
          </w:p>
        </w:tc>
        <w:tc>
          <w:tcPr>
            <w:tcW w:type="dxa" w:w="2016"/>
            <w:vAlign w:val="center"/>
          </w:tcPr>
          <w:p>
            <w:r>
              <w:t>88,94 % / 96,23 % / 95,80 %</w:t>
            </w:r>
          </w:p>
        </w:tc>
      </w:tr>
      <w:tr>
        <w:tc>
          <w:tcPr>
            <w:tcW w:type="dxa" w:w="2016"/>
            <w:vAlign w:val="center"/>
          </w:tcPr>
          <w:p>
            <w:r>
              <w:t>0,50</w:t>
            </w:r>
          </w:p>
        </w:tc>
        <w:tc>
          <w:tcPr>
            <w:tcW w:type="dxa" w:w="2016"/>
            <w:vAlign w:val="center"/>
          </w:tcPr>
          <w:p>
            <w:r>
              <w:t>72,64</w:t>
            </w:r>
          </w:p>
        </w:tc>
        <w:tc>
          <w:tcPr>
            <w:tcW w:type="dxa" w:w="2016"/>
            <w:vAlign w:val="center"/>
          </w:tcPr>
          <w:p>
            <w:r>
              <w:t>29,52</w:t>
            </w:r>
          </w:p>
        </w:tc>
        <w:tc>
          <w:tcPr>
            <w:tcW w:type="dxa" w:w="2016"/>
            <w:vAlign w:val="center"/>
          </w:tcPr>
          <w:p>
            <w:r>
              <w:t>23,59</w:t>
            </w:r>
          </w:p>
        </w:tc>
        <w:tc>
          <w:tcPr>
            <w:tcW w:type="dxa" w:w="2016"/>
            <w:vAlign w:val="center"/>
          </w:tcPr>
          <w:p>
            <w:r>
              <w:t>93,03 % / 97,42 % / 97,18 %</w:t>
            </w:r>
          </w:p>
        </w:tc>
      </w:tr>
      <w:tr>
        <w:tc>
          <w:tcPr>
            <w:tcW w:type="dxa" w:w="2016"/>
            <w:vAlign w:val="center"/>
          </w:tcPr>
          <w:p>
            <w:r>
              <w:t>0,25</w:t>
            </w:r>
          </w:p>
        </w:tc>
        <w:tc>
          <w:tcPr>
            <w:tcW w:type="dxa" w:w="2016"/>
            <w:vAlign w:val="center"/>
          </w:tcPr>
          <w:p>
            <w:r>
              <w:t>114,94</w:t>
            </w:r>
          </w:p>
        </w:tc>
        <w:tc>
          <w:tcPr>
            <w:tcW w:type="dxa" w:w="2016"/>
            <w:vAlign w:val="center"/>
          </w:tcPr>
          <w:p>
            <w:r>
              <w:t>27,53</w:t>
            </w:r>
          </w:p>
        </w:tc>
        <w:tc>
          <w:tcPr>
            <w:tcW w:type="dxa" w:w="2016"/>
            <w:vAlign w:val="center"/>
          </w:tcPr>
          <w:p>
            <w:r>
              <w:t>21,60</w:t>
            </w:r>
          </w:p>
        </w:tc>
        <w:tc>
          <w:tcPr>
            <w:tcW w:type="dxa" w:w="2016"/>
            <w:vAlign w:val="center"/>
          </w:tcPr>
          <w:p>
            <w:r>
              <w:t>95,41 % / 98,05 % / 98,03 %</w:t>
            </w:r>
          </w:p>
        </w:tc>
      </w:tr>
    </w:tbl>
    <w:p>
      <w:r>
        <w:t>À S = 0,5, remplacer Qc des deux chrominances par Qy donne PSNR = 30,54 dB ; employer Qc pour les trois composantes donne PSNR = 28,52 dB. Cela confirme qu’une table plus grossière appliquée à la luminance coûte davantage en qualité visuelle et en erreur globale. Il n’existe pas une table universellement optimale : le compromis dépend du contenu et du critère de qualité.</w:t>
      </w:r>
    </w:p>
    <w:p>
      <w:pPr>
        <w:pStyle w:val="Heading1"/>
      </w:pPr>
      <w:r>
        <w:t>Question 6 — Changement d’image</w:t>
      </w:r>
    </w:p>
    <w:p>
      <w:r>
        <w:t>Le script se relance sur n’importe quelle image RGB carrée dont les dimensions sont multiples de 8 : il suffit de modifier image_name au début de Main.m / TP2_Main.m. Les images fournies ont été comparées avec les mêmes tables et S = 0,5. La complexité des textures explique les différences : mandrill.tiff, riche en détails fins, conserve moins bien la qualité avec ce réglage que lena.tiff.</w:t>
      </w:r>
    </w:p>
    <w:tbl>
      <w:tblPr>
        <w:tblStyle w:val="LightShading-Accent1"/>
        <w:tblW w:type="auto" w:w="0"/>
        <w:jc w:val="center"/>
        <w:tblLook w:firstColumn="1" w:firstRow="1" w:lastColumn="0" w:lastRow="0" w:noHBand="0" w:noVBand="1" w:val="04A0"/>
      </w:tblPr>
      <w:tblGrid>
        <w:gridCol w:w="2520"/>
        <w:gridCol w:w="2520"/>
        <w:gridCol w:w="2520"/>
        <w:gridCol w:w="2520"/>
      </w:tblGrid>
      <w:tr>
        <w:tc>
          <w:tcPr>
            <w:tcW w:type="dxa" w:w="2520"/>
            <w:shd w:fill="D9EAF7"/>
            <w:vAlign w:val="center"/>
          </w:tcPr>
          <w:p>
            <w:r>
              <w:t>Image</w:t>
            </w:r>
          </w:p>
        </w:tc>
        <w:tc>
          <w:tcPr>
            <w:tcW w:type="dxa" w:w="2520"/>
            <w:shd w:fill="D9EAF7"/>
            <w:vAlign w:val="center"/>
          </w:tcPr>
          <w:p>
            <w:r>
              <w:t>MSE RGB</w:t>
            </w:r>
          </w:p>
        </w:tc>
        <w:tc>
          <w:tcPr>
            <w:tcW w:type="dxa" w:w="2520"/>
            <w:shd w:fill="D9EAF7"/>
            <w:vAlign w:val="center"/>
          </w:tcPr>
          <w:p>
            <w:r>
              <w:t>PSNR (dB)</w:t>
            </w:r>
          </w:p>
        </w:tc>
        <w:tc>
          <w:tcPr>
            <w:tcW w:type="dxa" w:w="2520"/>
            <w:shd w:fill="D9EAF7"/>
            <w:vAlign w:val="center"/>
          </w:tcPr>
          <w:p>
            <w:r>
              <w:t>SNR (dB)</w:t>
            </w:r>
          </w:p>
        </w:tc>
      </w:tr>
      <w:tr>
        <w:tc>
          <w:tcPr>
            <w:tcW w:type="dxa" w:w="2520"/>
            <w:vAlign w:val="center"/>
          </w:tcPr>
          <w:p>
            <w:r>
              <w:t>peppers.tiff</w:t>
            </w:r>
          </w:p>
        </w:tc>
        <w:tc>
          <w:tcPr>
            <w:tcW w:type="dxa" w:w="2520"/>
            <w:vAlign w:val="center"/>
          </w:tcPr>
          <w:p>
            <w:r>
              <w:t>72,64</w:t>
            </w:r>
          </w:p>
        </w:tc>
        <w:tc>
          <w:tcPr>
            <w:tcW w:type="dxa" w:w="2520"/>
            <w:vAlign w:val="center"/>
          </w:tcPr>
          <w:p>
            <w:r>
              <w:t>29,52</w:t>
            </w:r>
          </w:p>
        </w:tc>
        <w:tc>
          <w:tcPr>
            <w:tcW w:type="dxa" w:w="2520"/>
            <w:vAlign w:val="center"/>
          </w:tcPr>
          <w:p>
            <w:r>
              <w:t>23,59</w:t>
            </w:r>
          </w:p>
        </w:tc>
      </w:tr>
      <w:tr>
        <w:tc>
          <w:tcPr>
            <w:tcW w:type="dxa" w:w="2520"/>
            <w:vAlign w:val="center"/>
          </w:tcPr>
          <w:p>
            <w:r>
              <w:t>lena.tiff</w:t>
            </w:r>
          </w:p>
        </w:tc>
        <w:tc>
          <w:tcPr>
            <w:tcW w:type="dxa" w:w="2520"/>
            <w:vAlign w:val="center"/>
          </w:tcPr>
          <w:p>
            <w:r>
              <w:t>49,47</w:t>
            </w:r>
          </w:p>
        </w:tc>
        <w:tc>
          <w:tcPr>
            <w:tcW w:type="dxa" w:w="2520"/>
            <w:vAlign w:val="center"/>
          </w:tcPr>
          <w:p>
            <w:r>
              <w:t>31,19</w:t>
            </w:r>
          </w:p>
        </w:tc>
        <w:tc>
          <w:tcPr>
            <w:tcW w:type="dxa" w:w="2520"/>
            <w:vAlign w:val="center"/>
          </w:tcPr>
          <w:p>
            <w:r>
              <w:t>26,05</w:t>
            </w:r>
          </w:p>
        </w:tc>
      </w:tr>
      <w:tr>
        <w:tc>
          <w:tcPr>
            <w:tcW w:type="dxa" w:w="2520"/>
            <w:vAlign w:val="center"/>
          </w:tcPr>
          <w:p>
            <w:r>
              <w:t>mandrill.tiff</w:t>
            </w:r>
          </w:p>
        </w:tc>
        <w:tc>
          <w:tcPr>
            <w:tcW w:type="dxa" w:w="2520"/>
            <w:vAlign w:val="center"/>
          </w:tcPr>
          <w:p>
            <w:r>
              <w:t>263,02</w:t>
            </w:r>
          </w:p>
        </w:tc>
        <w:tc>
          <w:tcPr>
            <w:tcW w:type="dxa" w:w="2520"/>
            <w:vAlign w:val="center"/>
          </w:tcPr>
          <w:p>
            <w:r>
              <w:t>23,93</w:t>
            </w:r>
          </w:p>
        </w:tc>
        <w:tc>
          <w:tcPr>
            <w:tcW w:type="dxa" w:w="2520"/>
            <w:vAlign w:val="center"/>
          </w:tcPr>
          <w:p>
            <w:r>
              <w:t>18,62</w:t>
            </w:r>
          </w:p>
        </w:tc>
      </w:tr>
      <w:tr>
        <w:tc>
          <w:tcPr>
            <w:tcW w:type="dxa" w:w="2520"/>
            <w:vAlign w:val="center"/>
          </w:tcPr>
          <w:p>
            <w:r>
              <w:t>sailboat.tiff</w:t>
            </w:r>
          </w:p>
        </w:tc>
        <w:tc>
          <w:tcPr>
            <w:tcW w:type="dxa" w:w="2520"/>
            <w:vAlign w:val="center"/>
          </w:tcPr>
          <w:p>
            <w:r>
              <w:t>113,39</w:t>
            </w:r>
          </w:p>
        </w:tc>
        <w:tc>
          <w:tcPr>
            <w:tcW w:type="dxa" w:w="2520"/>
            <w:vAlign w:val="center"/>
          </w:tcPr>
          <w:p>
            <w:r>
              <w:t>27,58</w:t>
            </w:r>
          </w:p>
        </w:tc>
        <w:tc>
          <w:tcPr>
            <w:tcW w:type="dxa" w:w="2520"/>
            <w:vAlign w:val="center"/>
          </w:tcPr>
          <w:p>
            <w:r>
              <w:t>22,43</w:t>
            </w:r>
          </w:p>
        </w:tc>
      </w:tr>
    </w:tbl>
    <w:p>
      <w:pPr>
        <w:pStyle w:val="Heading1"/>
      </w:pPr>
      <w:r>
        <w:t>Reproductibilité</w:t>
      </w:r>
    </w:p>
    <w:p>
      <w:r>
        <w:t>Les mesures du compte rendu proviennent de l’application numérique des mêmes matrices, tables et équations que celles du script sur les images du dépôt. Le script MATLAB affiche également MSE, PSNR, SNR et pourcentages de coefficients nuls lorsqu’il est exécuté. La conversion RGB/YCbCr utilise des constantes arrondies ; les écarts à une conversion standard ou d’un logiciel JPEG peuvent donc différer légèrement. Pour une remise personnalisée, compléter les informations étudiant en première page.</w:t>
      </w:r>
    </w:p>
    <w:p>
      <w:r>
        <w:t>Fichiers à exécuter : TP2_Main.m (script principal), pdip_dct2.m / pdip_inv_dct2.m, image_MxM_block_dct.m / image_MxM_block_idct.m, quant_MxM_bloc_quant.m / quant_MxM_bloc_iquant.m, rgb2ycbcr_.m / ycbcr2rgb_.m. Les figures complètes sont aussi enregistrées dans le dossier TP2_figures.</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Compte rendu — Traitement d’images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TP2 — Reconstruction de l’image JPEG compressée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