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E0B" w:rsidRDefault="00066C1F">
      <w:pPr>
        <w:spacing w:before="2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2C4E0B" w:rsidRDefault="002C4E0B">
      <w:pPr>
        <w:spacing w:before="240"/>
        <w:rPr>
          <w:sz w:val="36"/>
          <w:szCs w:val="36"/>
        </w:rPr>
      </w:pPr>
    </w:p>
    <w:p w:rsidR="002C4E0B" w:rsidRDefault="00066C1F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2C4E0B" w:rsidRDefault="00066C1F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PLAN DE GESTIÓN DE LA </w:t>
      </w:r>
      <w:bookmarkStart w:id="0" w:name="_GoBack"/>
      <w:r>
        <w:rPr>
          <w:sz w:val="36"/>
          <w:szCs w:val="36"/>
        </w:rPr>
        <w:t>SCM</w:t>
      </w:r>
      <w:bookmarkEnd w:id="0"/>
    </w:p>
    <w:p w:rsidR="002C4E0B" w:rsidRDefault="00066C1F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Sistema de Gestión de Eventos</w:t>
      </w:r>
    </w:p>
    <w:p w:rsidR="002C4E0B" w:rsidRDefault="00066C1F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Versión 1.1.0</w:t>
      </w:r>
    </w:p>
    <w:p w:rsidR="002C4E0B" w:rsidRDefault="00066C1F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09/10/2019</w:t>
      </w:r>
    </w:p>
    <w:p w:rsidR="002C4E0B" w:rsidRDefault="00066C1F">
      <w:pPr>
        <w:spacing w:before="240" w:after="240"/>
      </w:pPr>
      <w:r>
        <w:t xml:space="preserve"> </w:t>
      </w:r>
    </w:p>
    <w:p w:rsidR="002C4E0B" w:rsidRDefault="00066C1F">
      <w:pPr>
        <w:spacing w:before="240" w:after="240"/>
      </w:pPr>
      <w:r>
        <w:t xml:space="preserve"> </w:t>
      </w:r>
    </w:p>
    <w:p w:rsidR="002C4E0B" w:rsidRDefault="00066C1F">
      <w:pPr>
        <w:spacing w:before="240" w:after="240"/>
      </w:pPr>
      <w:r>
        <w:t xml:space="preserve"> </w:t>
      </w:r>
    </w:p>
    <w:p w:rsidR="002C4E0B" w:rsidRDefault="00066C1F">
      <w:pPr>
        <w:spacing w:before="240" w:after="240"/>
      </w:pPr>
      <w:r>
        <w:t xml:space="preserve"> </w:t>
      </w:r>
    </w:p>
    <w:p w:rsidR="002C4E0B" w:rsidRDefault="00066C1F">
      <w:pPr>
        <w:spacing w:before="240" w:after="240"/>
      </w:pPr>
      <w:r>
        <w:t xml:space="preserve"> </w:t>
      </w:r>
    </w:p>
    <w:p w:rsidR="002C4E0B" w:rsidRDefault="00066C1F">
      <w:pPr>
        <w:spacing w:before="240" w:after="240"/>
      </w:pPr>
      <w:r>
        <w:t xml:space="preserve"> </w:t>
      </w:r>
    </w:p>
    <w:p w:rsidR="002C4E0B" w:rsidRDefault="00066C1F">
      <w:pPr>
        <w:spacing w:before="240" w:after="240"/>
      </w:pPr>
      <w:r>
        <w:t xml:space="preserve"> </w:t>
      </w:r>
    </w:p>
    <w:p w:rsidR="002C4E0B" w:rsidRDefault="00066C1F">
      <w:pPr>
        <w:spacing w:before="240" w:after="240"/>
      </w:pPr>
      <w:r>
        <w:t xml:space="preserve"> </w:t>
      </w:r>
    </w:p>
    <w:p w:rsidR="002C4E0B" w:rsidRDefault="00066C1F">
      <w:pPr>
        <w:spacing w:before="240" w:after="240"/>
      </w:pPr>
      <w:r>
        <w:t xml:space="preserve"> </w:t>
      </w:r>
    </w:p>
    <w:p w:rsidR="002C4E0B" w:rsidRDefault="00066C1F">
      <w:pPr>
        <w:spacing w:before="240" w:after="240"/>
      </w:pPr>
      <w:r>
        <w:t xml:space="preserve"> </w:t>
      </w:r>
    </w:p>
    <w:p w:rsidR="002C4E0B" w:rsidRDefault="00066C1F">
      <w:pPr>
        <w:spacing w:before="240" w:after="240"/>
      </w:pPr>
      <w:r>
        <w:t xml:space="preserve"> </w:t>
      </w:r>
    </w:p>
    <w:p w:rsidR="002C4E0B" w:rsidRDefault="00066C1F">
      <w:pPr>
        <w:spacing w:before="240" w:after="240"/>
      </w:pPr>
      <w:r>
        <w:t xml:space="preserve"> </w:t>
      </w:r>
    </w:p>
    <w:p w:rsidR="002C4E0B" w:rsidRDefault="00066C1F">
      <w:pPr>
        <w:spacing w:before="240" w:after="240"/>
      </w:pPr>
      <w:r>
        <w:t xml:space="preserve"> </w:t>
      </w:r>
    </w:p>
    <w:p w:rsidR="002C4E0B" w:rsidRDefault="00066C1F">
      <w:pPr>
        <w:spacing w:before="240" w:after="240"/>
      </w:pPr>
      <w:r>
        <w:t xml:space="preserve"> </w:t>
      </w:r>
    </w:p>
    <w:p w:rsidR="002C4E0B" w:rsidRDefault="00066C1F">
      <w:pPr>
        <w:spacing w:before="240" w:after="240"/>
      </w:pPr>
      <w:r>
        <w:t xml:space="preserve"> </w:t>
      </w:r>
    </w:p>
    <w:p w:rsidR="002C4E0B" w:rsidRDefault="00066C1F">
      <w:pPr>
        <w:spacing w:before="240" w:after="240"/>
      </w:pPr>
      <w:r>
        <w:t xml:space="preserve"> </w:t>
      </w:r>
    </w:p>
    <w:p w:rsidR="002C4E0B" w:rsidRDefault="002C4E0B">
      <w:pPr>
        <w:spacing w:before="240"/>
      </w:pPr>
    </w:p>
    <w:p w:rsidR="002C4E0B" w:rsidRDefault="00066C1F">
      <w:p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 de la gestión de la SCM</w:t>
      </w:r>
    </w:p>
    <w:p w:rsidR="002C4E0B" w:rsidRDefault="00066C1F">
      <w:pPr>
        <w:numPr>
          <w:ilvl w:val="0"/>
          <w:numId w:val="6"/>
        </w:num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Planificación de la SCM</w:t>
      </w:r>
    </w:p>
    <w:p w:rsidR="002C4E0B" w:rsidRDefault="00066C1F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1.1. Introducción</w:t>
      </w:r>
    </w:p>
    <w:p w:rsidR="002C4E0B" w:rsidRDefault="00066C1F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1.1.1 Situación actual de la empresa</w:t>
      </w:r>
      <w:r>
        <w:t>: Empresa emergente en el área del desarrollo de proyectos software, actualmente implementando 5 proyectos. La empresa también experimenta una baja productividad dado los problemas que surgen por la deficiencia en el control de versiones, generando un aume</w:t>
      </w:r>
      <w:r>
        <w:t>nto de riesgos por la aparición de errores que conllevan a la mala calidad de los productos.</w:t>
      </w:r>
    </w:p>
    <w:p w:rsidR="002C4E0B" w:rsidRDefault="00066C1F">
      <w:pPr>
        <w:spacing w:after="240"/>
        <w:ind w:left="720"/>
      </w:pPr>
      <w:r>
        <w:rPr>
          <w:b/>
        </w:rPr>
        <w:t>1.1.2 Problemática:</w:t>
      </w:r>
    </w:p>
    <w:p w:rsidR="002C4E0B" w:rsidRDefault="00066C1F">
      <w:pPr>
        <w:numPr>
          <w:ilvl w:val="1"/>
          <w:numId w:val="4"/>
        </w:numPr>
        <w:spacing w:before="240"/>
        <w:jc w:val="both"/>
      </w:pPr>
      <w:r>
        <w:t xml:space="preserve">No se gestiona adecuadamente el código entre desarrolladores de forma que no se incluye el control y </w:t>
      </w:r>
      <w:proofErr w:type="spellStart"/>
      <w:r>
        <w:t>versionamiento</w:t>
      </w:r>
      <w:proofErr w:type="spellEnd"/>
      <w:r>
        <w:t>.</w:t>
      </w:r>
    </w:p>
    <w:p w:rsidR="002C4E0B" w:rsidRDefault="00066C1F">
      <w:pPr>
        <w:numPr>
          <w:ilvl w:val="1"/>
          <w:numId w:val="4"/>
        </w:numPr>
        <w:jc w:val="both"/>
      </w:pPr>
      <w:r>
        <w:t>Al no tener un control adecuado de las versiones, se tiene la dificultad de recuperar versiones antiguas de ítems de configuración de software.</w:t>
      </w:r>
    </w:p>
    <w:p w:rsidR="002C4E0B" w:rsidRDefault="00066C1F">
      <w:pPr>
        <w:numPr>
          <w:ilvl w:val="1"/>
          <w:numId w:val="4"/>
        </w:numPr>
        <w:jc w:val="both"/>
      </w:pPr>
      <w:r>
        <w:t>No se realiza un control a las diversas modificaciones realizadas al código generando un control ineficiente que</w:t>
      </w:r>
      <w:r>
        <w:t xml:space="preserve"> conlleve a la aparición de errores que comprometan la calidad del producto. </w:t>
      </w:r>
    </w:p>
    <w:p w:rsidR="002C4E0B" w:rsidRDefault="00066C1F">
      <w:pPr>
        <w:numPr>
          <w:ilvl w:val="1"/>
          <w:numId w:val="4"/>
        </w:numPr>
        <w:jc w:val="both"/>
      </w:pPr>
      <w:r>
        <w:t xml:space="preserve">No se comparte código entre desarrolladores de una forma sistemática que incluya control y </w:t>
      </w:r>
      <w:proofErr w:type="spellStart"/>
      <w:r>
        <w:t>versionamiento</w:t>
      </w:r>
      <w:proofErr w:type="spellEnd"/>
      <w:r>
        <w:t>.</w:t>
      </w:r>
    </w:p>
    <w:p w:rsidR="002C4E0B" w:rsidRDefault="00066C1F">
      <w:pPr>
        <w:numPr>
          <w:ilvl w:val="1"/>
          <w:numId w:val="4"/>
        </w:numPr>
        <w:jc w:val="both"/>
      </w:pPr>
      <w:r>
        <w:t>No se puede realizar el desarrollo de un producto en paralelo.</w:t>
      </w:r>
    </w:p>
    <w:p w:rsidR="002C4E0B" w:rsidRDefault="00066C1F">
      <w:pPr>
        <w:numPr>
          <w:ilvl w:val="1"/>
          <w:numId w:val="4"/>
        </w:numPr>
        <w:spacing w:after="480"/>
        <w:jc w:val="both"/>
      </w:pPr>
      <w:r>
        <w:t>El siste</w:t>
      </w:r>
      <w:r>
        <w:t>ma actual de versiones es rudimentario al guardar cambios en nuevos directorios</w:t>
      </w:r>
      <w:r>
        <w:rPr>
          <w:highlight w:val="white"/>
        </w:rPr>
        <w:t>.</w:t>
      </w:r>
      <w:r>
        <w:rPr>
          <w:rFonts w:ascii="Times New Roman" w:eastAsia="Times New Roman" w:hAnsi="Times New Roman" w:cs="Times New Roman"/>
        </w:rPr>
        <w:t xml:space="preserve">    </w:t>
      </w:r>
    </w:p>
    <w:p w:rsidR="002C4E0B" w:rsidRDefault="00066C1F">
      <w:pPr>
        <w:spacing w:after="240"/>
        <w:ind w:left="720"/>
      </w:pPr>
      <w:r>
        <w:rPr>
          <w:b/>
        </w:rPr>
        <w:t>1.1.3 Propósito:</w:t>
      </w:r>
      <w:r>
        <w:t xml:space="preserve"> El plan de gestión de la configuración es un artefacto clave en la fase de planificación del proyecto. Debe ser utilizado para planificar y ejecutar las a</w:t>
      </w:r>
      <w:r>
        <w:t>ctividades de identificación y control de ítems de configuración de proyecto, de esta forma se permite mantener la integridad de estos a los largo del ciclo de vida del desarrollo, garantizando un correcto seguimiento a los cambios realizados minimizando l</w:t>
      </w:r>
      <w:r>
        <w:t xml:space="preserve">a aparición de errores. De la misma forma se garantiza la disposición adecuada de los recursos para todos los desarrolladores involucrados, contando con las versiones adecuadas en todo momento. Gracias a esto se tendrá un mejor control de los productos de </w:t>
      </w:r>
      <w:r>
        <w:t>software, mejorando la calidad de estos.</w:t>
      </w:r>
    </w:p>
    <w:p w:rsidR="002C4E0B" w:rsidRDefault="00066C1F">
      <w:pPr>
        <w:spacing w:after="240"/>
        <w:ind w:left="720"/>
        <w:rPr>
          <w:sz w:val="24"/>
          <w:szCs w:val="24"/>
        </w:rPr>
      </w:pPr>
      <w:r>
        <w:rPr>
          <w:b/>
        </w:rPr>
        <w:t>1.1.4 Finalidad del plan:</w:t>
      </w:r>
      <w:r>
        <w:t xml:space="preserve"> El documento se encargará de la identificación de los elementos de la configuración y el establecimiento de los roles y sus responsabilidades. </w:t>
      </w:r>
      <w:r>
        <w:rPr>
          <w:sz w:val="24"/>
          <w:szCs w:val="24"/>
        </w:rPr>
        <w:t>De igual manera tiene como fin debe garantizar</w:t>
      </w:r>
      <w:r>
        <w:rPr>
          <w:sz w:val="24"/>
          <w:szCs w:val="24"/>
        </w:rPr>
        <w:t xml:space="preserve"> que no se realicen cambios sin supervisión y que todo el equipo participante del desarrollo acceda a la versión adecuada del producto que utiliza en todo el ciclo de vida del desarrollo de software.</w:t>
      </w:r>
    </w:p>
    <w:p w:rsidR="002C4E0B" w:rsidRDefault="00066C1F">
      <w:p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4E0B" w:rsidRDefault="00066C1F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1.2. Roles, Responsabilidades y Cantidad</w:t>
      </w:r>
    </w:p>
    <w:p w:rsidR="002C4E0B" w:rsidRDefault="00066C1F">
      <w:pPr>
        <w:spacing w:before="240"/>
      </w:pPr>
      <w:r>
        <w:lastRenderedPageBreak/>
        <w:t>A continuació</w:t>
      </w:r>
      <w:r>
        <w:t>n se presenta en la Tabla 1 los roles y responsabilidades correspondientes.</w:t>
      </w:r>
    </w:p>
    <w:tbl>
      <w:tblPr>
        <w:tblStyle w:val="a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6030"/>
        <w:gridCol w:w="1185"/>
      </w:tblGrid>
      <w:tr w:rsidR="002C4E0B">
        <w:trPr>
          <w:trHeight w:val="44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color w:val="FFFFFF"/>
              </w:rPr>
              <w:t>Nombre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color w:val="FFFFFF"/>
              </w:rPr>
              <w:t>Responsabilidad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color w:val="FFFFFF"/>
              </w:rPr>
              <w:t>Cantidad</w:t>
            </w:r>
          </w:p>
        </w:tc>
      </w:tr>
      <w:tr w:rsidR="002C4E0B">
        <w:trPr>
          <w:trHeight w:val="68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Project Manager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Supervisar el funcionamiento de la gestión de la configuración.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</w:tr>
      <w:tr w:rsidR="002C4E0B">
        <w:trPr>
          <w:trHeight w:val="90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Gestor de configuración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jc w:val="both"/>
            </w:pPr>
            <w:r>
              <w:t>Coordinar junto al gerente del proyecto para generar el plan de la SCM. Creación y asignación de roles al equipo del proyecto. Realiza un control y monitoreo de los elementos de configuración. Seguimiento y auditoria del uso de la base de datos de configur</w:t>
            </w:r>
            <w:r>
              <w:t>ación dentro de la organización</w:t>
            </w:r>
            <w:r>
              <w:rPr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2C4E0B">
        <w:trPr>
          <w:trHeight w:val="90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Coordinador de configuración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Asegurar que todos los elementos de configuración están registrados de forma adecuada en la base de datos de configuración.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C4E0B">
        <w:trPr>
          <w:trHeight w:val="134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Inspector de Aseguramiento de Calidad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Supervisar que los productos cumplan con las normas de calidad y seguridad. Entre sus funciones concretas están la elaboración de un plan de control; comprobar las muestras y examinar los productos; registrar los controles realizados y elaborar informes.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2C4E0B">
        <w:trPr>
          <w:trHeight w:val="112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Gestor de cambios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Evaluar el impacto y riesgo de los cambios, además de asegurar que los responsables de los elementos de configuración actualicen los históricos de estos elementos con los cambios implementados.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2C4E0B">
        <w:trPr>
          <w:trHeight w:val="112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Bibliotecario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Definir y dar mantenimiento a las bibliotecas que son usadas durante la gestión de la configuración, también es el encargado de asegurarse que los aspectos prácticos de la gestión de configuración trabajen entre sí adecuadamente.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C4E0B">
        <w:trPr>
          <w:trHeight w:val="112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Auditor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Auditar la gest</w:t>
            </w:r>
            <w:r>
              <w:rPr>
                <w:sz w:val="20"/>
                <w:szCs w:val="20"/>
                <w:highlight w:val="white"/>
              </w:rPr>
              <w:t xml:space="preserve">ión de la configuración. </w:t>
            </w:r>
            <w:r>
              <w:rPr>
                <w:sz w:val="20"/>
                <w:szCs w:val="20"/>
              </w:rPr>
              <w:t xml:space="preserve">Verificar </w:t>
            </w:r>
            <w:r>
              <w:t>que los elementos de configuración de los que es responsable están registrados en la base de datos de configuración con el estado y datos de configuración apropiados.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C4E0B">
        <w:trPr>
          <w:trHeight w:val="90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Miembros del equipo de proyecto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la información de Gestión de la configuración según sus niveles de autoridad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</w:tr>
      <w:tr w:rsidR="002C4E0B">
        <w:trPr>
          <w:trHeight w:val="90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Auditor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Auditar la gestión de la configuración.</w:t>
            </w:r>
          </w:p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Velar por la calidad de la gestión de</w:t>
            </w:r>
          </w:p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configuración</w:t>
            </w:r>
            <w:proofErr w:type="gramEnd"/>
            <w:r>
              <w:t>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p w:rsidR="002C4E0B" w:rsidRDefault="00066C1F">
      <w:pPr>
        <w:jc w:val="center"/>
        <w:rPr>
          <w:b/>
        </w:rPr>
      </w:pPr>
      <w:r>
        <w:rPr>
          <w:b/>
        </w:rPr>
        <w:t>Tabla 1. Roles, Responsabilidades y Cantidad</w:t>
      </w:r>
    </w:p>
    <w:p w:rsidR="002C4E0B" w:rsidRDefault="002C4E0B">
      <w:pPr>
        <w:jc w:val="center"/>
        <w:rPr>
          <w:b/>
        </w:rPr>
      </w:pPr>
    </w:p>
    <w:p w:rsidR="002C4E0B" w:rsidRDefault="00066C1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1.3. Políticas, Directrices y procedimientos</w:t>
      </w:r>
    </w:p>
    <w:p w:rsidR="002C4E0B" w:rsidRDefault="002C4E0B"/>
    <w:p w:rsidR="002C4E0B" w:rsidRDefault="00066C1F">
      <w:pPr>
        <w:numPr>
          <w:ilvl w:val="0"/>
          <w:numId w:val="5"/>
        </w:numPr>
      </w:pPr>
      <w:r>
        <w:t>Se mantendrá un registro preciso y completo de los elementos de la configuración que formarán los registros de la configuración, para un mejor seguimiento y control de estos elementos. Dichos registros serán al</w:t>
      </w:r>
      <w:r>
        <w:t>macenados adecuado a cada elemento.</w:t>
      </w:r>
    </w:p>
    <w:p w:rsidR="002C4E0B" w:rsidRDefault="00066C1F">
      <w:pPr>
        <w:numPr>
          <w:ilvl w:val="0"/>
          <w:numId w:val="5"/>
        </w:numPr>
      </w:pPr>
      <w:r>
        <w:t>Respecto a los documentos en el repositorio, solo se le concederá permiso a determinados involucrados, los cuales tienen derechos de administrador, es decir permiso de lectura, modificación y creación de nuevos documento</w:t>
      </w:r>
      <w:r>
        <w:t xml:space="preserve">s. Se tiene como política la restricción de estos permisos para algunos integrantes del equipo que puedan ser prescindibles en ciertas actividades, y en otras no. </w:t>
      </w:r>
    </w:p>
    <w:p w:rsidR="002C4E0B" w:rsidRDefault="00066C1F">
      <w:pPr>
        <w:numPr>
          <w:ilvl w:val="0"/>
          <w:numId w:val="5"/>
        </w:numPr>
      </w:pPr>
      <w:r>
        <w:t xml:space="preserve">Se trabajará en base al </w:t>
      </w:r>
      <w:proofErr w:type="spellStart"/>
      <w:r>
        <w:t>Estandar</w:t>
      </w:r>
      <w:proofErr w:type="spellEnd"/>
      <w:r>
        <w:t xml:space="preserve"> IEEE 828 para planes de gestión de la configuración de soft</w:t>
      </w:r>
      <w:r>
        <w:t xml:space="preserve">ware y al </w:t>
      </w:r>
      <w:proofErr w:type="spellStart"/>
      <w:r>
        <w:t>Estandar</w:t>
      </w:r>
      <w:proofErr w:type="spellEnd"/>
      <w:r>
        <w:t xml:space="preserve"> IEEE 1042 para </w:t>
      </w:r>
      <w:proofErr w:type="spellStart"/>
      <w:r>
        <w:t>Gestion</w:t>
      </w:r>
      <w:proofErr w:type="spellEnd"/>
      <w:r>
        <w:t xml:space="preserve"> de </w:t>
      </w:r>
      <w:proofErr w:type="spellStart"/>
      <w:r>
        <w:t>configuracion</w:t>
      </w:r>
      <w:proofErr w:type="spellEnd"/>
      <w:r>
        <w:t xml:space="preserve"> de software </w:t>
      </w:r>
    </w:p>
    <w:p w:rsidR="002C4E0B" w:rsidRDefault="002C4E0B">
      <w:pPr>
        <w:ind w:left="720"/>
      </w:pPr>
    </w:p>
    <w:p w:rsidR="002C4E0B" w:rsidRDefault="002C4E0B"/>
    <w:p w:rsidR="002C4E0B" w:rsidRDefault="00066C1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1.4. Herramientas, entorno e infraestructura</w:t>
      </w:r>
    </w:p>
    <w:p w:rsidR="002C4E0B" w:rsidRDefault="002C4E0B">
      <w:pPr>
        <w:ind w:firstLine="720"/>
      </w:pPr>
    </w:p>
    <w:p w:rsidR="002C4E0B" w:rsidRDefault="00066C1F">
      <w:r>
        <w:t>Se decidió utilizar herramientas e infraestructura en la nube para la gestión de la configuración de software y sus entregables, las her</w:t>
      </w:r>
      <w:r>
        <w:t>ramientas utilizadas fueron las siguientes:</w:t>
      </w:r>
    </w:p>
    <w:p w:rsidR="002C4E0B" w:rsidRDefault="00066C1F">
      <w:pPr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: </w:t>
      </w:r>
      <w:proofErr w:type="spellStart"/>
      <w:r>
        <w:t>GitHub</w:t>
      </w:r>
      <w:proofErr w:type="spellEnd"/>
      <w:r>
        <w:t xml:space="preserve"> es un sitio web y un servicio en la nube que ayuda a los desarrolladores a almacenar y administrar su código, al igual que llevar un registro y control de cualquier cambio sobre este código. Ofrece</w:t>
      </w:r>
      <w:r>
        <w:t>n sus servicios de distintas maneras:</w:t>
      </w:r>
    </w:p>
    <w:p w:rsidR="002C4E0B" w:rsidRDefault="00066C1F">
      <w:pPr>
        <w:numPr>
          <w:ilvl w:val="1"/>
          <w:numId w:val="3"/>
        </w:numPr>
      </w:pPr>
      <w:r>
        <w:t xml:space="preserve">Uso individualizado: Es de uso gratuito, pero también posee una versión “Pro” que ofrece mayores funcionalidades por 7 dólares al mes. </w:t>
      </w:r>
    </w:p>
    <w:p w:rsidR="002C4E0B" w:rsidRDefault="00066C1F">
      <w:pPr>
        <w:numPr>
          <w:ilvl w:val="1"/>
          <w:numId w:val="3"/>
        </w:numPr>
      </w:pPr>
      <w:r>
        <w:t xml:space="preserve">Uso entre equipo: Cuesta 9 dólares al mes y posee diferentes funcionalidades como </w:t>
      </w:r>
      <w:r>
        <w:t>control del equipo, manejo de las cuentas y repositorios.</w:t>
      </w:r>
    </w:p>
    <w:p w:rsidR="002C4E0B" w:rsidRDefault="00066C1F">
      <w:pPr>
        <w:numPr>
          <w:ilvl w:val="0"/>
          <w:numId w:val="3"/>
        </w:numPr>
      </w:pPr>
      <w:r>
        <w:t xml:space="preserve">Microsoft </w:t>
      </w:r>
      <w:proofErr w:type="spellStart"/>
      <w:r>
        <w:t>OneDrive</w:t>
      </w:r>
      <w:proofErr w:type="spellEnd"/>
      <w:r>
        <w:t xml:space="preserve">: </w:t>
      </w:r>
      <w:proofErr w:type="spellStart"/>
      <w:r>
        <w:t>OneDrive</w:t>
      </w:r>
      <w:proofErr w:type="spellEnd"/>
      <w:r>
        <w:t xml:space="preserve"> es el servicio en la nube de Microsoft que le conecta a todos los archivos. Le permite almacenar y proteger sus archivos, compartirlos con otros usuarios y obtener acces</w:t>
      </w:r>
      <w:r>
        <w:t>o a ellos desde cualquier lugar de todos los dispositivos. Ofrece sus servicios para diferentes tipos de entidades:</w:t>
      </w:r>
    </w:p>
    <w:p w:rsidR="002C4E0B" w:rsidRDefault="00066C1F">
      <w:pPr>
        <w:numPr>
          <w:ilvl w:val="1"/>
          <w:numId w:val="3"/>
        </w:numPr>
      </w:pPr>
      <w:r>
        <w:t>Personal: Ofrece su alojamiento en la nube de manera gratuita pero con solo 5GB para ser usado, también posee otras tarifas desde 70 dólares</w:t>
      </w:r>
      <w:r>
        <w:t xml:space="preserve"> al año donde te viene, junto al alojamiento en la nube, office 365.</w:t>
      </w:r>
    </w:p>
    <w:p w:rsidR="002C4E0B" w:rsidRDefault="00066C1F">
      <w:pPr>
        <w:numPr>
          <w:ilvl w:val="1"/>
          <w:numId w:val="3"/>
        </w:numPr>
      </w:pPr>
      <w:r>
        <w:t>Empresa: Para empresas tiene la función de usar los productos office con otros usuarios en simultáneo. Su tarifa va desde 5 dólares por usuario al mes hasta 12.5 por usuario al mes.</w:t>
      </w:r>
    </w:p>
    <w:p w:rsidR="002C4E0B" w:rsidRDefault="00066C1F">
      <w:pPr>
        <w:ind w:left="1440"/>
      </w:pPr>
      <w:r>
        <w:t xml:space="preserve"> </w:t>
      </w:r>
    </w:p>
    <w:p w:rsidR="002C4E0B" w:rsidRDefault="00066C1F">
      <w:pPr>
        <w:ind w:left="1080"/>
      </w:pPr>
      <w:r>
        <w:rPr>
          <w:noProof/>
          <w:lang w:val="es-PE"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1314450</wp:posOffset>
            </wp:positionH>
            <wp:positionV relativeFrom="paragraph">
              <wp:posOffset>114300</wp:posOffset>
            </wp:positionV>
            <wp:extent cx="3424238" cy="2489560"/>
            <wp:effectExtent l="12700" t="12700" r="12700" b="1270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4895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2C4E0B" w:rsidRDefault="002C4E0B">
      <w:pPr>
        <w:ind w:left="1080"/>
      </w:pPr>
    </w:p>
    <w:p w:rsidR="002C4E0B" w:rsidRDefault="002C4E0B">
      <w:pPr>
        <w:ind w:left="1080"/>
      </w:pPr>
    </w:p>
    <w:p w:rsidR="002C4E0B" w:rsidRDefault="002C4E0B">
      <w:pPr>
        <w:ind w:left="1080"/>
      </w:pPr>
    </w:p>
    <w:p w:rsidR="002C4E0B" w:rsidRDefault="002C4E0B">
      <w:pPr>
        <w:ind w:left="1080"/>
      </w:pPr>
    </w:p>
    <w:p w:rsidR="002C4E0B" w:rsidRDefault="002C4E0B">
      <w:pPr>
        <w:ind w:left="1080"/>
      </w:pPr>
    </w:p>
    <w:p w:rsidR="002C4E0B" w:rsidRDefault="002C4E0B">
      <w:pPr>
        <w:ind w:left="1080"/>
      </w:pPr>
    </w:p>
    <w:p w:rsidR="002C4E0B" w:rsidRDefault="002C4E0B">
      <w:pPr>
        <w:ind w:left="1080"/>
      </w:pPr>
    </w:p>
    <w:p w:rsidR="002C4E0B" w:rsidRDefault="002C4E0B">
      <w:pPr>
        <w:ind w:left="1080"/>
      </w:pPr>
    </w:p>
    <w:p w:rsidR="002C4E0B" w:rsidRDefault="002C4E0B">
      <w:pPr>
        <w:ind w:left="1080"/>
      </w:pPr>
    </w:p>
    <w:p w:rsidR="002C4E0B" w:rsidRDefault="002C4E0B">
      <w:pPr>
        <w:ind w:left="1080"/>
      </w:pPr>
    </w:p>
    <w:p w:rsidR="002C4E0B" w:rsidRDefault="002C4E0B">
      <w:pPr>
        <w:ind w:left="1080"/>
      </w:pPr>
    </w:p>
    <w:p w:rsidR="002C4E0B" w:rsidRDefault="002C4E0B">
      <w:pPr>
        <w:ind w:left="1080"/>
        <w:jc w:val="center"/>
        <w:rPr>
          <w:b/>
        </w:rPr>
      </w:pPr>
    </w:p>
    <w:p w:rsidR="002C4E0B" w:rsidRDefault="002C4E0B">
      <w:pPr>
        <w:ind w:left="1080"/>
        <w:jc w:val="center"/>
        <w:rPr>
          <w:b/>
        </w:rPr>
      </w:pPr>
    </w:p>
    <w:p w:rsidR="002C4E0B" w:rsidRDefault="002C4E0B">
      <w:pPr>
        <w:ind w:left="1080"/>
        <w:jc w:val="center"/>
        <w:rPr>
          <w:b/>
        </w:rPr>
      </w:pPr>
    </w:p>
    <w:p w:rsidR="002C4E0B" w:rsidRDefault="00066C1F">
      <w:pPr>
        <w:ind w:left="1080"/>
        <w:jc w:val="center"/>
        <w:rPr>
          <w:b/>
        </w:rPr>
      </w:pPr>
      <w:r>
        <w:rPr>
          <w:b/>
        </w:rPr>
        <w:t>Dibujo 1. Arquitectura de la SCM</w:t>
      </w:r>
    </w:p>
    <w:p w:rsidR="002C4E0B" w:rsidRDefault="002C4E0B">
      <w:pPr>
        <w:ind w:left="1080"/>
      </w:pPr>
    </w:p>
    <w:p w:rsidR="002C4E0B" w:rsidRDefault="002C4E0B">
      <w:pPr>
        <w:ind w:left="1080"/>
      </w:pPr>
    </w:p>
    <w:p w:rsidR="002C4E0B" w:rsidRDefault="00066C1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1.5. Calendario</w:t>
      </w:r>
    </w:p>
    <w:p w:rsidR="002C4E0B" w:rsidRDefault="00066C1F">
      <w:pPr>
        <w:spacing w:before="240"/>
      </w:pPr>
      <w:r>
        <w:t xml:space="preserve"> </w:t>
      </w:r>
    </w:p>
    <w:tbl>
      <w:tblPr>
        <w:tblStyle w:val="a0"/>
        <w:tblW w:w="10215" w:type="dxa"/>
        <w:tblInd w:w="-3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5205"/>
        <w:gridCol w:w="1200"/>
        <w:gridCol w:w="3105"/>
      </w:tblGrid>
      <w:tr w:rsidR="002C4E0B">
        <w:trPr>
          <w:trHeight w:val="58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2C4E0B">
            <w:pPr>
              <w:spacing w:before="240"/>
              <w:jc w:val="center"/>
              <w:rPr>
                <w:b/>
                <w:color w:val="FFFFFF"/>
              </w:rPr>
            </w:pPr>
          </w:p>
        </w:tc>
        <w:tc>
          <w:tcPr>
            <w:tcW w:w="5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Actividad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Tiempo (Días)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Rol</w:t>
            </w:r>
          </w:p>
        </w:tc>
      </w:tr>
      <w:tr w:rsidR="002C4E0B">
        <w:trPr>
          <w:trHeight w:val="52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</w:rPr>
            </w:pPr>
            <w:r>
              <w:rPr>
                <w:b/>
              </w:rPr>
              <w:t>Planificación de la SCM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2C4E0B">
            <w:pPr>
              <w:spacing w:before="240"/>
              <w:rPr>
                <w:b/>
              </w:rPr>
            </w:pP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1.1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Identificar la problemática de la empresa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</w:pPr>
            <w:r>
              <w:t>Gestor de configuración</w:t>
            </w: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1.2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Definir el propósito y finalidad del plan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</w:pPr>
            <w:r>
              <w:t>Gestor de configuración</w:t>
            </w: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1.3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Identificar roles y responsabilidades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</w:pPr>
            <w:r>
              <w:t>Gestor de configuración</w:t>
            </w: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1.4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Identificar políticas, directrices y procedimientos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</w:pPr>
            <w:r>
              <w:t>Gestor de configuración</w:t>
            </w: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1.5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Analizar herramientas, el entorno y la</w:t>
            </w:r>
          </w:p>
          <w:p w:rsidR="002C4E0B" w:rsidRDefault="00066C1F">
            <w:pPr>
              <w:spacing w:before="240"/>
            </w:pPr>
            <w:r>
              <w:t>infraestructura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</w:pPr>
            <w:r>
              <w:t>Gestor de configuración</w:t>
            </w: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</w:rPr>
            </w:pPr>
            <w:r>
              <w:rPr>
                <w:b/>
              </w:rPr>
              <w:t>Identificación de la SCM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2C4E0B">
            <w:pPr>
              <w:spacing w:before="240"/>
              <w:rPr>
                <w:b/>
              </w:rPr>
            </w:pP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2.1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Lista de clasificación del CI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</w:pPr>
            <w:r>
              <w:t>Gestor de configuración</w:t>
            </w: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2.2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Definición de la nomenclatura de los ítems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</w:pPr>
            <w:r>
              <w:t>Gestor de configuración</w:t>
            </w: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2.3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Lista de ítems con su nomenclatura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</w:pPr>
            <w:r>
              <w:t>Gestor de configuración</w:t>
            </w:r>
          </w:p>
        </w:tc>
      </w:tr>
      <w:tr w:rsidR="002C4E0B">
        <w:trPr>
          <w:trHeight w:val="62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</w:rPr>
            </w:pPr>
            <w:r>
              <w:rPr>
                <w:b/>
              </w:rPr>
              <w:t>Control de la GCS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2C4E0B">
            <w:pPr>
              <w:spacing w:before="240"/>
              <w:rPr>
                <w:b/>
              </w:rPr>
            </w:pP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3.1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Definición de las líneas base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Bibliotecario</w:t>
            </w: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3.2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Definición de la estructura de las librerías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Bibliotecario</w:t>
            </w: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3.3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Ejemplos de solicitudes de cambio- a nivel</w:t>
            </w:r>
          </w:p>
          <w:p w:rsidR="002C4E0B" w:rsidRDefault="00066C1F">
            <w:pPr>
              <w:spacing w:before="240"/>
            </w:pPr>
            <w:r>
              <w:t>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Bibliotecario</w:t>
            </w: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3.4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Crear plan de gestión de cambios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</w:pPr>
            <w:r>
              <w:t>Gestor de configuración</w:t>
            </w: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</w:rPr>
            </w:pPr>
            <w:r>
              <w:rPr>
                <w:b/>
              </w:rPr>
              <w:t>Estado de la GCS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2C4E0B">
            <w:pPr>
              <w:spacing w:before="240"/>
              <w:rPr>
                <w:b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2C4E0B">
            <w:pPr>
              <w:spacing w:before="240"/>
              <w:rPr>
                <w:b/>
              </w:rPr>
            </w:pP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4.1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Reportes para el Estado (Gestor de la</w:t>
            </w:r>
          </w:p>
          <w:p w:rsidR="002C4E0B" w:rsidRDefault="00066C1F">
            <w:pPr>
              <w:spacing w:before="240"/>
            </w:pPr>
            <w:r>
              <w:t>configuración)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</w:pPr>
            <w:r>
              <w:t>Gestor de configuración</w:t>
            </w:r>
          </w:p>
          <w:p w:rsidR="002C4E0B" w:rsidRDefault="002C4E0B">
            <w:pPr>
              <w:spacing w:before="240"/>
            </w:pP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4.2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Reportes para el Estado (Jefe de proyecto)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</w:pPr>
            <w:r>
              <w:t>Gestor de configuración</w:t>
            </w: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lastRenderedPageBreak/>
              <w:t>4.3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Reportes para el Estado (Desarrollador)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widowControl w:val="0"/>
            </w:pPr>
            <w:r>
              <w:t>Gestor de configuración</w:t>
            </w: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</w:rPr>
            </w:pPr>
            <w:r>
              <w:rPr>
                <w:b/>
              </w:rPr>
              <w:t>Auditoría de la GCS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2C4E0B">
            <w:pPr>
              <w:spacing w:before="240"/>
              <w:rPr>
                <w:b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2C4E0B">
            <w:pPr>
              <w:spacing w:before="240"/>
              <w:rPr>
                <w:b/>
              </w:rPr>
            </w:pP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5.1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Reportes de auditoría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Auditor</w:t>
            </w:r>
          </w:p>
        </w:tc>
      </w:tr>
      <w:tr w:rsidR="002C4E0B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Entrega y Gestión de </w:t>
            </w:r>
            <w:proofErr w:type="spellStart"/>
            <w:r>
              <w:rPr>
                <w:b/>
              </w:rPr>
              <w:t>Release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2C4E0B">
            <w:pPr>
              <w:spacing w:before="240"/>
              <w:rPr>
                <w:b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2C4E0B">
            <w:pPr>
              <w:spacing w:before="240"/>
              <w:rPr>
                <w:b/>
              </w:rPr>
            </w:pPr>
          </w:p>
        </w:tc>
      </w:tr>
    </w:tbl>
    <w:p w:rsidR="002C4E0B" w:rsidRDefault="00066C1F">
      <w:pPr>
        <w:spacing w:before="240" w:after="240"/>
        <w:jc w:val="center"/>
        <w:rPr>
          <w:b/>
        </w:rPr>
      </w:pPr>
      <w:r>
        <w:rPr>
          <w:b/>
        </w:rPr>
        <w:t xml:space="preserve"> Tabla 2. Calendario de la SCM</w:t>
      </w:r>
    </w:p>
    <w:p w:rsidR="002C4E0B" w:rsidRDefault="002C4E0B">
      <w:pPr>
        <w:spacing w:before="240" w:after="240"/>
        <w:jc w:val="center"/>
        <w:rPr>
          <w:b/>
        </w:rPr>
      </w:pPr>
    </w:p>
    <w:p w:rsidR="002C4E0B" w:rsidRDefault="002C4E0B">
      <w:pPr>
        <w:spacing w:before="240" w:after="240"/>
        <w:jc w:val="center"/>
        <w:rPr>
          <w:b/>
        </w:rPr>
      </w:pPr>
    </w:p>
    <w:p w:rsidR="002C4E0B" w:rsidRDefault="00066C1F">
      <w:pPr>
        <w:numPr>
          <w:ilvl w:val="0"/>
          <w:numId w:val="6"/>
        </w:num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Identificación</w:t>
      </w:r>
    </w:p>
    <w:p w:rsidR="002C4E0B" w:rsidRDefault="00066C1F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2.1. Lista de la clasificación de los ítems de la configuración</w:t>
      </w:r>
    </w:p>
    <w:p w:rsidR="002C4E0B" w:rsidRDefault="00066C1F">
      <w:pPr>
        <w:spacing w:before="240"/>
      </w:pPr>
      <w:r>
        <w:t>Lista de ítems de la gestión de configuración usadas en los proyectos que se están manejando. Poseen el tipo de ítem que es, evolución, fuente y soporte, su nombre, su origen y el proyecto en el cual es usado.</w:t>
      </w:r>
    </w:p>
    <w:p w:rsidR="002C4E0B" w:rsidRDefault="002C4E0B">
      <w:pPr>
        <w:spacing w:before="240"/>
      </w:pPr>
    </w:p>
    <w:tbl>
      <w:tblPr>
        <w:tblStyle w:val="a1"/>
        <w:tblW w:w="892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715"/>
        <w:gridCol w:w="1710"/>
        <w:gridCol w:w="2355"/>
      </w:tblGrid>
      <w:tr w:rsidR="002C4E0B">
        <w:trPr>
          <w:trHeight w:val="500"/>
          <w:jc w:val="center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 de ítem</w:t>
            </w:r>
            <w:r>
              <w:rPr>
                <w:b/>
                <w:color w:val="FFFFFF"/>
              </w:rPr>
              <w:br/>
              <w:t>(Evolución = E,</w:t>
            </w:r>
            <w:r>
              <w:rPr>
                <w:b/>
                <w:color w:val="FFFFFF"/>
              </w:rPr>
              <w:br/>
              <w:t>Fuente = F,</w:t>
            </w:r>
            <w:r>
              <w:rPr>
                <w:b/>
                <w:color w:val="FFFFFF"/>
              </w:rPr>
              <w:br/>
              <w:t>Sopo</w:t>
            </w:r>
            <w:r>
              <w:rPr>
                <w:b/>
                <w:color w:val="FFFFFF"/>
              </w:rPr>
              <w:t>rte = S)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de </w:t>
            </w:r>
            <w:proofErr w:type="spellStart"/>
            <w:r>
              <w:rPr>
                <w:b/>
                <w:color w:val="FFFFFF"/>
              </w:rPr>
              <w:t>item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Origen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 xml:space="preserve"> 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 xml:space="preserve"> Visual Studio Code-</w:t>
            </w:r>
            <w:r>
              <w:rPr>
                <w:highlight w:val="white"/>
              </w:rPr>
              <w:t>1.38.1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Proveedor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 xml:space="preserve"> SGE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 xml:space="preserve"> 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 xml:space="preserve"> PyCharm-</w:t>
            </w:r>
            <w:r>
              <w:rPr>
                <w:highlight w:val="white"/>
              </w:rPr>
              <w:t>2019.2.3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 xml:space="preserve">Proveedor 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 xml:space="preserve"> SVO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proofErr w:type="spellStart"/>
            <w:r>
              <w:t>IntelliJ</w:t>
            </w:r>
            <w:proofErr w:type="spellEnd"/>
            <w:r>
              <w:t xml:space="preserve"> IDEA-2019.2.3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Proveedor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SAA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proofErr w:type="spellStart"/>
            <w:r>
              <w:t>Android</w:t>
            </w:r>
            <w:proofErr w:type="spellEnd"/>
            <w:r>
              <w:t xml:space="preserve"> Studio-3.5.1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Proveedor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SEM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lastRenderedPageBreak/>
              <w:t>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Windows 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Proveedor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-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Git-2.23.0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Proveedor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-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proofErr w:type="spellStart"/>
            <w:r>
              <w:t>Gradle</w:t>
            </w:r>
            <w:proofErr w:type="spellEnd"/>
            <w:r>
              <w:t xml:space="preserve"> 3.1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Proveedor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SEM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 xml:space="preserve">Google </w:t>
            </w:r>
            <w:proofErr w:type="spellStart"/>
            <w:r>
              <w:t>Analytics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Proveedor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SGE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F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Prototipo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Proyecto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SVO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Plan de Gestión de Control de Cambios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Empresa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SAA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Plan de Gestión del Cronograma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Empresa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SAA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Plan de Gestión de la Configuración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Empresa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-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Manual técnico del prototipo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Proyecto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SAA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Modelo de Análisis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Empresa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SAA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Diagrama de red del cronograma del proyecto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Proyecto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SEM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Plan de Proyecto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Empresa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SEM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Modelo de Diseño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Proyecto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SEM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F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Prototipo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Proyecto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SEM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Acta de constitución del equipo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Proyecto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SEM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Modelo de Diseño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Proyecto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SVO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lastRenderedPageBreak/>
              <w:t>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Documentación técnica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Proyecto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SVO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Documento de Especificación de Requerimientos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Proyecto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SVO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Modelo de Análisis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Empresa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SVO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Prototipo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Proyecto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SVO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Manual técnico del prototipo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Proyecto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SVO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Ejecutable final del sistema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Proyecto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SVO</w:t>
            </w:r>
          </w:p>
        </w:tc>
      </w:tr>
      <w:tr w:rsidR="002C4E0B">
        <w:trPr>
          <w:trHeight w:val="500"/>
          <w:jc w:val="center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Diagrama de red del cronograma del proyecto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Proyecto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SVO</w:t>
            </w:r>
          </w:p>
        </w:tc>
      </w:tr>
    </w:tbl>
    <w:p w:rsidR="002C4E0B" w:rsidRDefault="00066C1F">
      <w:pPr>
        <w:spacing w:before="240"/>
        <w:jc w:val="center"/>
        <w:rPr>
          <w:b/>
        </w:rPr>
      </w:pPr>
      <w:r>
        <w:rPr>
          <w:b/>
        </w:rPr>
        <w:t xml:space="preserve"> Tabla 3. Lista de clasificación de los ítems de la SCM</w:t>
      </w:r>
    </w:p>
    <w:p w:rsidR="002C4E0B" w:rsidRDefault="00066C1F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2.2. Definición de la nomenclatura de ítem</w:t>
      </w:r>
    </w:p>
    <w:p w:rsidR="002C4E0B" w:rsidRDefault="00066C1F">
      <w:pPr>
        <w:numPr>
          <w:ilvl w:val="0"/>
          <w:numId w:val="7"/>
        </w:numPr>
        <w:spacing w:before="240"/>
      </w:pPr>
      <w:r>
        <w:t>Caso 1: Ítems que no son específicos a un proyecto único, tales como políticas, descripciones de procesos y guías, son identificados únicamente por su acrónimo.</w:t>
      </w:r>
    </w:p>
    <w:p w:rsidR="002C4E0B" w:rsidRDefault="00066C1F">
      <w:pPr>
        <w:spacing w:before="240"/>
        <w:ind w:left="1440" w:firstLine="720"/>
      </w:pPr>
      <w:r>
        <w:rPr>
          <w:noProof/>
          <w:lang w:val="es-PE"/>
        </w:rPr>
        <mc:AlternateContent>
          <mc:Choice Requires="wpg">
            <w:drawing>
              <wp:inline distT="114300" distB="114300" distL="114300" distR="114300">
                <wp:extent cx="3176588" cy="898429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6588" cy="898429"/>
                          <a:chOff x="2902725" y="1383150"/>
                          <a:chExt cx="3750000" cy="1052100"/>
                        </a:xfrm>
                      </wpg:grpSpPr>
                      <wps:wsp>
                        <wps:cNvPr id="1" name="1 Rectángulo"/>
                        <wps:cNvSpPr/>
                        <wps:spPr>
                          <a:xfrm>
                            <a:off x="2902725" y="1383150"/>
                            <a:ext cx="3750000" cy="105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C4E0B" w:rsidRDefault="002C4E0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2 Cuadro de texto"/>
                        <wps:cNvSpPr txBox="1"/>
                        <wps:spPr>
                          <a:xfrm>
                            <a:off x="2902725" y="1383150"/>
                            <a:ext cx="3701400" cy="105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4E0B" w:rsidRDefault="002C4E0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" name="3 Cuadro de texto"/>
                        <wps:cNvSpPr txBox="1"/>
                        <wps:spPr>
                          <a:xfrm>
                            <a:off x="4139775" y="1719300"/>
                            <a:ext cx="12759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4E0B" w:rsidRDefault="00066C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ACRÓNIMO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176588" cy="898429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6588" cy="8984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C4E0B" w:rsidRDefault="00066C1F">
      <w:pPr>
        <w:spacing w:before="240"/>
      </w:pPr>
      <w:r>
        <w:tab/>
        <w:t>Ejemplo: PGC (Plan de Gestión de la configuración)</w:t>
      </w:r>
    </w:p>
    <w:p w:rsidR="002C4E0B" w:rsidRDefault="00066C1F">
      <w:pPr>
        <w:numPr>
          <w:ilvl w:val="0"/>
          <w:numId w:val="9"/>
        </w:numPr>
        <w:spacing w:before="240"/>
      </w:pPr>
      <w:r>
        <w:t xml:space="preserve">Caso 2: Los ítems que son específicos de un proyecto utilizan un identificador de dos partes: </w:t>
      </w:r>
    </w:p>
    <w:p w:rsidR="002C4E0B" w:rsidRDefault="00066C1F">
      <w:pPr>
        <w:spacing w:before="240"/>
        <w:ind w:left="1440" w:firstLine="720"/>
      </w:pPr>
      <w:r>
        <w:rPr>
          <w:noProof/>
          <w:lang w:val="es-PE"/>
        </w:rPr>
        <mc:AlternateContent>
          <mc:Choice Requires="wpg">
            <w:drawing>
              <wp:inline distT="114300" distB="114300" distL="114300" distR="114300">
                <wp:extent cx="3176588" cy="898429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6588" cy="898429"/>
                          <a:chOff x="2902725" y="1383150"/>
                          <a:chExt cx="3750000" cy="1052100"/>
                        </a:xfrm>
                      </wpg:grpSpPr>
                      <wps:wsp>
                        <wps:cNvPr id="7" name="7 Rectángulo"/>
                        <wps:cNvSpPr/>
                        <wps:spPr>
                          <a:xfrm>
                            <a:off x="2902725" y="1383150"/>
                            <a:ext cx="3750000" cy="105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C4E0B" w:rsidRDefault="002C4E0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8 Cuadro de texto"/>
                        <wps:cNvSpPr txBox="1"/>
                        <wps:spPr>
                          <a:xfrm>
                            <a:off x="2902725" y="1383150"/>
                            <a:ext cx="3701400" cy="105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4E0B" w:rsidRDefault="002C4E0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9 Cuadro de texto"/>
                        <wps:cNvSpPr txBox="1"/>
                        <wps:spPr>
                          <a:xfrm>
                            <a:off x="3107325" y="1719300"/>
                            <a:ext cx="32922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4E0B" w:rsidRDefault="00066C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ACRÓNIMO PROYECTO-ACRÓNIMO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176588" cy="898429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6588" cy="8984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C4E0B" w:rsidRDefault="00066C1F">
      <w:pPr>
        <w:spacing w:before="240"/>
        <w:ind w:left="708"/>
      </w:pPr>
      <w:r>
        <w:lastRenderedPageBreak/>
        <w:tab/>
        <w:t>Ejemplo: Para identificar el plan de gestión de la configuración del proyecto SGE, tenemos SGE-PGC</w:t>
      </w:r>
    </w:p>
    <w:p w:rsidR="002C4E0B" w:rsidRDefault="00066C1F">
      <w:pPr>
        <w:numPr>
          <w:ilvl w:val="0"/>
          <w:numId w:val="8"/>
        </w:numPr>
        <w:spacing w:before="240"/>
      </w:pPr>
      <w:r>
        <w:t>Caso 3: Los ítems que so</w:t>
      </w:r>
      <w:r>
        <w:t>n del tipo DECUS de un proyecto utilizan un identificador de tres partes:</w:t>
      </w:r>
    </w:p>
    <w:p w:rsidR="002C4E0B" w:rsidRDefault="00066C1F">
      <w:pPr>
        <w:spacing w:before="240"/>
        <w:ind w:left="2160" w:firstLine="720"/>
      </w:pPr>
      <w:r>
        <w:rPr>
          <w:noProof/>
          <w:lang w:val="es-PE"/>
        </w:rPr>
        <mc:AlternateContent>
          <mc:Choice Requires="wpg">
            <w:drawing>
              <wp:inline distT="114300" distB="114300" distL="114300" distR="114300">
                <wp:extent cx="3176588" cy="898429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6588" cy="898429"/>
                          <a:chOff x="2902725" y="1383150"/>
                          <a:chExt cx="3750000" cy="1052100"/>
                        </a:xfrm>
                      </wpg:grpSpPr>
                      <wps:wsp>
                        <wps:cNvPr id="11" name="11 Rectángulo"/>
                        <wps:cNvSpPr/>
                        <wps:spPr>
                          <a:xfrm>
                            <a:off x="2902725" y="1383150"/>
                            <a:ext cx="3750000" cy="105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C4E0B" w:rsidRDefault="002C4E0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12 Cuadro de texto"/>
                        <wps:cNvSpPr txBox="1"/>
                        <wps:spPr>
                          <a:xfrm>
                            <a:off x="2902725" y="1383150"/>
                            <a:ext cx="3701400" cy="105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4E0B" w:rsidRDefault="002C4E0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" name="13 Cuadro de texto"/>
                        <wps:cNvSpPr txBox="1"/>
                        <wps:spPr>
                          <a:xfrm>
                            <a:off x="2927025" y="1719300"/>
                            <a:ext cx="37014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4E0B" w:rsidRDefault="00066C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ACRÓNIMO PROYECTO-ACRÓNIMO-NRO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176588" cy="898429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6588" cy="8984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C4E0B" w:rsidRDefault="00066C1F">
      <w:pPr>
        <w:numPr>
          <w:ilvl w:val="0"/>
          <w:numId w:val="2"/>
        </w:numPr>
        <w:spacing w:before="240"/>
      </w:pPr>
      <w:r>
        <w:t xml:space="preserve">Caso 4: El nivel de versión de cada ítem se mantiene como un identificador separado. Esto permite que el identificador principal sea utilizado como parte del nombre del ítem, para acceder a la versión más actualizada sin la necesidad de requerir cambios a </w:t>
      </w:r>
      <w:r>
        <w:t>todos los ítems referenciados. El nivel de versión se mantiene como un identificador numérico con dos componentes:</w:t>
      </w:r>
    </w:p>
    <w:p w:rsidR="002C4E0B" w:rsidRDefault="00066C1F">
      <w:pPr>
        <w:spacing w:before="240"/>
        <w:ind w:left="2160"/>
      </w:pPr>
      <w:r>
        <w:rPr>
          <w:noProof/>
          <w:lang w:val="es-PE"/>
        </w:rPr>
        <mc:AlternateContent>
          <mc:Choice Requires="wpg">
            <w:drawing>
              <wp:inline distT="114300" distB="114300" distL="114300" distR="114300">
                <wp:extent cx="3176588" cy="898429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6588" cy="898429"/>
                          <a:chOff x="2902725" y="1383150"/>
                          <a:chExt cx="3750000" cy="1052100"/>
                        </a:xfrm>
                      </wpg:grpSpPr>
                      <wps:wsp>
                        <wps:cNvPr id="15" name="15 Rectángulo"/>
                        <wps:cNvSpPr/>
                        <wps:spPr>
                          <a:xfrm>
                            <a:off x="2902725" y="1383150"/>
                            <a:ext cx="3750000" cy="105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C4E0B" w:rsidRDefault="002C4E0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16 Cuadro de texto"/>
                        <wps:cNvSpPr txBox="1"/>
                        <wps:spPr>
                          <a:xfrm>
                            <a:off x="2902725" y="1383150"/>
                            <a:ext cx="3701400" cy="105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4E0B" w:rsidRDefault="002C4E0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" name="17 Cuadro de texto"/>
                        <wps:cNvSpPr txBox="1"/>
                        <wps:spPr>
                          <a:xfrm>
                            <a:off x="3802875" y="1719300"/>
                            <a:ext cx="19497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4E0B" w:rsidRDefault="00066C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VERSIÓN.REVISIÓN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176588" cy="89842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6588" cy="8984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C4E0B" w:rsidRDefault="00066C1F">
      <w:pPr>
        <w:numPr>
          <w:ilvl w:val="0"/>
          <w:numId w:val="1"/>
        </w:numPr>
        <w:spacing w:before="240"/>
      </w:pPr>
      <w:r>
        <w:t>Caso 5: El número de versión cambia después de ser evaluado, cuando ya se excede la versión #9 o cuando el ítem es</w:t>
      </w:r>
      <w:r>
        <w:t xml:space="preserve"> completamente reconstruido. En este caso la versión 1.# se convertirá en la versión 2.0</w:t>
      </w:r>
    </w:p>
    <w:p w:rsidR="002C4E0B" w:rsidRDefault="002C4E0B">
      <w:pPr>
        <w:spacing w:before="240"/>
        <w:ind w:left="720"/>
      </w:pPr>
    </w:p>
    <w:p w:rsidR="002C4E0B" w:rsidRDefault="00066C1F">
      <w:pPr>
        <w:numPr>
          <w:ilvl w:val="0"/>
          <w:numId w:val="1"/>
        </w:numPr>
        <w:spacing w:before="240"/>
      </w:pPr>
      <w:r>
        <w:t>Caso 6: El número de revisión cambia cuando el contenido ha cambiado, pero la estructura principal y el flujo del ítem se mantiene igual. La secuencia normal de las r</w:t>
      </w:r>
      <w:r>
        <w:t xml:space="preserve">evisiones </w:t>
      </w:r>
      <w:proofErr w:type="gramStart"/>
      <w:r>
        <w:t>es :</w:t>
      </w:r>
      <w:proofErr w:type="gramEnd"/>
      <w:r>
        <w:t xml:space="preserve"> 1.0, 1.1, 1.2, etc.</w:t>
      </w:r>
    </w:p>
    <w:p w:rsidR="002C4E0B" w:rsidRDefault="00066C1F">
      <w:pPr>
        <w:spacing w:before="240"/>
      </w:pPr>
      <w:r>
        <w:tab/>
      </w:r>
    </w:p>
    <w:p w:rsidR="002C4E0B" w:rsidRDefault="00066C1F">
      <w:pPr>
        <w:rPr>
          <w:b/>
          <w:sz w:val="28"/>
          <w:szCs w:val="28"/>
        </w:rPr>
      </w:pPr>
      <w:r>
        <w:rPr>
          <w:b/>
          <w:sz w:val="28"/>
          <w:szCs w:val="28"/>
        </w:rPr>
        <w:t>2.3. Lista de ítem con la nomenclatura</w:t>
      </w:r>
    </w:p>
    <w:p w:rsidR="002C4E0B" w:rsidRDefault="00066C1F">
      <w:r>
        <w:t xml:space="preserve">Lista de </w:t>
      </w:r>
      <w:proofErr w:type="spellStart"/>
      <w:r>
        <w:t>items</w:t>
      </w:r>
      <w:proofErr w:type="spellEnd"/>
      <w:r>
        <w:t xml:space="preserve"> con nomenclatura por proyecto, este identifica el nombre, la extensión, la nomenclatura y el proyecto al cual será asignado cada elemento de configuración.</w:t>
      </w:r>
    </w:p>
    <w:p w:rsidR="002C4E0B" w:rsidRDefault="002C4E0B">
      <w:pPr>
        <w:ind w:firstLine="720"/>
      </w:pPr>
    </w:p>
    <w:p w:rsidR="002412E9" w:rsidRDefault="002412E9">
      <w:pPr>
        <w:ind w:firstLine="720"/>
      </w:pPr>
    </w:p>
    <w:p w:rsidR="002412E9" w:rsidRDefault="002412E9">
      <w:pPr>
        <w:ind w:firstLine="720"/>
      </w:pPr>
    </w:p>
    <w:p w:rsidR="002412E9" w:rsidRDefault="002412E9">
      <w:pPr>
        <w:ind w:firstLine="720"/>
      </w:pPr>
    </w:p>
    <w:p w:rsidR="002412E9" w:rsidRDefault="002412E9">
      <w:pPr>
        <w:ind w:firstLine="720"/>
      </w:pPr>
    </w:p>
    <w:p w:rsidR="002412E9" w:rsidRDefault="002412E9">
      <w:pPr>
        <w:ind w:firstLine="720"/>
      </w:pPr>
    </w:p>
    <w:p w:rsidR="002412E9" w:rsidRDefault="002412E9">
      <w:pPr>
        <w:ind w:firstLine="720"/>
      </w:pPr>
    </w:p>
    <w:p w:rsidR="002412E9" w:rsidRDefault="002412E9">
      <w:pPr>
        <w:ind w:firstLine="720"/>
      </w:pPr>
    </w:p>
    <w:p w:rsidR="002412E9" w:rsidRDefault="002412E9">
      <w:pPr>
        <w:ind w:firstLine="720"/>
      </w:pPr>
    </w:p>
    <w:tbl>
      <w:tblPr>
        <w:tblStyle w:val="a2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010"/>
        <w:gridCol w:w="2505"/>
        <w:gridCol w:w="1905"/>
      </w:tblGrid>
      <w:tr w:rsidR="002C4E0B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Nombre del ítem</w:t>
            </w:r>
          </w:p>
        </w:tc>
        <w:tc>
          <w:tcPr>
            <w:tcW w:w="2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Extensión</w:t>
            </w:r>
          </w:p>
        </w:tc>
        <w:tc>
          <w:tcPr>
            <w:tcW w:w="2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Nomenclatura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Documento de Especificación de Requerimientos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SGE-ANERQ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Gestión de Eventos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Modelo de Análisis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SGE-ANMOD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Gestión de Eventos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Modelo de Diseño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SGE-DSMOD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Gestión de Eventos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Modelo de Distribución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SGE-DSDIST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Gestión de Eventos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Documentación técnica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SGE-IMDT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Gestión de Eventos</w:t>
            </w:r>
          </w:p>
        </w:tc>
      </w:tr>
      <w:tr w:rsidR="002C4E0B">
        <w:trPr>
          <w:trHeight w:val="118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Prototipo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rar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SGE-IMPROT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Gestión de Eventos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Manual técnico del prototipo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SGE-IMMTP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Gestión de Eventos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Ejecutable final del sistema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SGE-IMESF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Gestión de Eventos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Documento de Especificación de Requerimientos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SVO-ANERQ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Validación de Operaciones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Modelo de Análisis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SVO-ANMOD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 xml:space="preserve">Sistema de Validación de </w:t>
            </w:r>
            <w:r>
              <w:lastRenderedPageBreak/>
              <w:t>Operaciones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lastRenderedPageBreak/>
              <w:t>Modelo de Diseño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SVO-DSMOD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Validación de Operaciones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Modelo de Distribución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SVO-DSDIST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Validación de Operaciones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Documentación técnica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SVO-IMDT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Validación de Operaciones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Prototipo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rar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SVO-IMPROT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Validación de Operaciones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Manual técnico del prototipo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SVO-IMMTP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Validación de Operaciones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Ejecutable final del sistema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SVO-IMESF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Validación de Operaciones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Documento de Especificación de Requerimientos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SAA-ANERQ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auditoría de aranceles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Modelo de Análisis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SAA-ANMOD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auditoría de aranceles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Modelo de Diseño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SAA-DSMOD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auditoría de aranceles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Modelo de Distribución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SAA-DSDIST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auditoría de aranceles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lastRenderedPageBreak/>
              <w:t>Documentación técnica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SAA-IMDT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auditoría de aranceles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Prototipo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rar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SAA-IMPROT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auditoría de aranceles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Manual técnico del prototipo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SAA-IMMTP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auditoría de aranceles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Documento de Especificación de Requerimientos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SEM-ANERQ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estudio de mercado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Modelo de Distribución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SEM-DSDIST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estudio de mercado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Modelo de Diseño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SEM-DSMOD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estudio de mercado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 xml:space="preserve">Estándar de documentación técnica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SEM-IMEDT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estudio de mercado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Plan de Integración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SEM-IMPINT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estudio de mercado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Documentación técnica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SEM-IMDT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estudio de mercado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Prototipo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.</w:t>
            </w:r>
            <w:proofErr w:type="spellStart"/>
            <w:r>
              <w:t>rar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SEM-IMPROT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Sistema de estudio de mercado</w:t>
            </w:r>
          </w:p>
        </w:tc>
      </w:tr>
      <w:tr w:rsidR="002C4E0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 xml:space="preserve">Manual técnico del </w:t>
            </w:r>
            <w:r>
              <w:lastRenderedPageBreak/>
              <w:t>prototipo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lastRenderedPageBreak/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>SEM-IMMTP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E0B" w:rsidRDefault="00066C1F">
            <w:pPr>
              <w:spacing w:before="240"/>
            </w:pPr>
            <w:r>
              <w:t xml:space="preserve">Sistema de </w:t>
            </w:r>
            <w:r>
              <w:lastRenderedPageBreak/>
              <w:t>estudio de mercado</w:t>
            </w:r>
          </w:p>
        </w:tc>
      </w:tr>
    </w:tbl>
    <w:p w:rsidR="002C4E0B" w:rsidRDefault="00066C1F">
      <w:pPr>
        <w:spacing w:before="240"/>
        <w:jc w:val="center"/>
        <w:rPr>
          <w:b/>
        </w:rPr>
      </w:pPr>
      <w:r>
        <w:rPr>
          <w:b/>
        </w:rPr>
        <w:lastRenderedPageBreak/>
        <w:t xml:space="preserve"> Tabla 4. Lista de </w:t>
      </w:r>
      <w:proofErr w:type="spellStart"/>
      <w:r>
        <w:rPr>
          <w:b/>
        </w:rPr>
        <w:t>items</w:t>
      </w:r>
      <w:proofErr w:type="spellEnd"/>
      <w:r>
        <w:rPr>
          <w:b/>
        </w:rPr>
        <w:t xml:space="preserve"> con nomenclatura</w:t>
      </w:r>
    </w:p>
    <w:p w:rsidR="002C4E0B" w:rsidRDefault="002C4E0B"/>
    <w:sectPr w:rsidR="002C4E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862BD"/>
    <w:multiLevelType w:val="multilevel"/>
    <w:tmpl w:val="8984EC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29F308E"/>
    <w:multiLevelType w:val="multilevel"/>
    <w:tmpl w:val="DD605EB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42E9306B"/>
    <w:multiLevelType w:val="multilevel"/>
    <w:tmpl w:val="47282B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12125CC"/>
    <w:multiLevelType w:val="multilevel"/>
    <w:tmpl w:val="8110E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4D82693"/>
    <w:multiLevelType w:val="multilevel"/>
    <w:tmpl w:val="1E420B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D1F433B"/>
    <w:multiLevelType w:val="multilevel"/>
    <w:tmpl w:val="D5883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70328C4"/>
    <w:multiLevelType w:val="multilevel"/>
    <w:tmpl w:val="26F4EB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C9C4DFA"/>
    <w:multiLevelType w:val="multilevel"/>
    <w:tmpl w:val="891676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EDE6BAC"/>
    <w:multiLevelType w:val="multilevel"/>
    <w:tmpl w:val="FA588E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C4E0B"/>
    <w:rsid w:val="00013D3C"/>
    <w:rsid w:val="00066C1F"/>
    <w:rsid w:val="00234EF2"/>
    <w:rsid w:val="002412E9"/>
    <w:rsid w:val="00275410"/>
    <w:rsid w:val="002C4E0B"/>
    <w:rsid w:val="0046755A"/>
    <w:rsid w:val="006C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2085</Words>
  <Characters>11471</Characters>
  <Application>Microsoft Office Word</Application>
  <DocSecurity>0</DocSecurity>
  <Lines>95</Lines>
  <Paragraphs>27</Paragraphs>
  <ScaleCrop>false</ScaleCrop>
  <Company/>
  <LinksUpToDate>false</LinksUpToDate>
  <CharactersWithSpaces>13529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Administración</dc:creator>
  <cp:lastModifiedBy>Administración</cp:lastModifiedBy>
  <cp:revision>2</cp:revision>
  <dcterms:created xsi:type="dcterms:W3CDTF">2019-10-09T19:47:00Z</dcterms:created>
  <dcterms:modified xsi:type="dcterms:W3CDTF">2019-10-09T19:47:00Z</dcterms:modified>
</cp:coreProperties>
</file>