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BMI Distribution of Patients (bmidist.png)</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analysis of the sample set revealed that most patients fell within the body mass index range of 18.5 - 25 kg/m², in relation to the second quartile. This range is identified by the Center for Disease Control as representing a healthy or optimal weight status for the general population.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BMI Distribution by Gender (bmidistgender.png)</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 was observed that there was a relatively equal proportion of male and female participants overall. However, a detailed analysis revealed a significant difference of 29.89% between the genders in terms of their representation within the optimal weight range. This finding underscores the significance of considering gender-specific variations in body composition and associated health outcomes.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Macrovascular Complications in Reference to BMI (bmidmc.png)</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There is an almost even distribution of macrovascular complications across the entirety of this testing. You could infer that BMI may not have much effect on whether or not a diabetic patient will have a greater or less than chance to develop these complications.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Box Plot of Fasting (boxplotfastingplasma.png)</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Overall elevated FPG levels are linked to a higher risk of chronic microvascular complications. With a whisker not appearing on top of Neuropathy, Retinopathy, and Nephropathy indicates the max value is closer to the mean and not far enough to be measured in a separate quartile. Even though it still contains a single outlier on the high end. The breakdown of patients had 89 patients with no complications present, 16 with just neuropathy, and 8 who had both neuropathy and retinopathy, and the remainder tapers off from there.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Histogram of Age and Macrovascular Complications (histogram.png)</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histogram indicates there is a peak amplitude between age of diabetes diagnosis and the risk of microvascular disease. The data shows that early detection may mitigate the likelihood of complications. Most of the patients in the 50-70s range showed more macrovascular complications due to late diagnosis. Conversely, individuals diagnosed in their late 70s and on, demonstrate that a later in life diagnosis does not equate to an increase in macrovascular complications.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Bar Chart of Hypoglycemia Incidence (hypoglycemia.png)</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bar chart depicting hypoglycemia incidence reveals a relatively low occurrence rate, with only 11.0% of the sampled patients experiencing hypoglycemic episodes. Factors contributing to an elevated risk of hypoglycemia include low BMI, inadequate dietary habits, insufficient physical activity, and the presence of concurrent complications such as microvascular and macrovascular diseases. It is noteworthy that this sample set deviates from most expected trends, potentially influenced by dietary habits or local cultural variations.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Line Plot of HbA1c Levels over time (lineplothba1c.png)</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HbA1c is the measure of average blood glucose levels over a period of time, commonly used to diagnose and monitor diabetes.  Within this study, an observable sine curve pattern emerges in the median HbA1c levels among individuals managing diabetes. Initially, there is a peak followed by a consistent decline over the initial five years, then followed by a gradual rise over the subsequent five-year period. This sine wave continues in regular intervals with diminishing returns. The shading represents the variability of the data around the confidence intervals and  reliability of the estimated trend.</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Exploring the Relationship Between </w:t>
      </w:r>
      <w:r>
        <w:rPr>
          <w:rFonts w:ascii="Arial" w:hAnsi="Arial" w:cs="Arial" w:eastAsia="Arial"/>
          <w:color w:val="auto"/>
          <w:spacing w:val="0"/>
          <w:position w:val="0"/>
          <w:sz w:val="22"/>
          <w:shd w:fill="auto" w:val="clear"/>
        </w:rPr>
        <w:t xml:space="preserve">Distribution and Cholesterol of Diabetic Patients (scatteragecholesterol.png)</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Cholesterol constitutes a significant health factor impacting individuals with diabetes. </w:t>
      </w:r>
      <w:r>
        <w:rPr>
          <w:rFonts w:ascii="Arial" w:hAnsi="Arial" w:cs="Arial" w:eastAsia="Arial"/>
          <w:color w:val="auto"/>
          <w:spacing w:val="0"/>
          <w:position w:val="0"/>
          <w:sz w:val="22"/>
          <w:shd w:fill="auto" w:val="clear"/>
        </w:rPr>
        <w:t xml:space="preserve">The </w:t>
      </w:r>
      <w:r>
        <w:rPr>
          <w:rFonts w:ascii="Arial" w:hAnsi="Arial" w:cs="Arial" w:eastAsia="Arial"/>
          <w:color w:val="auto"/>
          <w:spacing w:val="0"/>
          <w:position w:val="0"/>
          <w:sz w:val="22"/>
          <w:shd w:fill="auto" w:val="clear"/>
        </w:rPr>
        <w:t xml:space="preserve">widely </w:t>
      </w:r>
      <w:r>
        <w:rPr>
          <w:rFonts w:ascii="Arial" w:hAnsi="Arial" w:cs="Arial" w:eastAsia="Arial"/>
          <w:color w:val="auto"/>
          <w:spacing w:val="0"/>
          <w:position w:val="0"/>
          <w:sz w:val="22"/>
          <w:shd w:fill="auto" w:val="clear"/>
        </w:rPr>
        <w:t xml:space="preserve">accepted median value is 200 mg/dL or 5.2 mmol/L. In this study you can see a mean of approximately 4.8 mmol/L across all patients which aligns with the standards of the National Library of Medicine.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Diabetic Macrovascular Complications by Gender and HbA1c Levels (stackedbarchart.png)</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this data set males were at higher risk of macrovascular complications when their HbA1c levels were at 61-70 and above 100 mmol/mol. The females were more at risk in the 51-60 range. Notably males were more likely than females to develop macrovascular complications.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These discernible gender discrepancies emphasize the necessity for tailored approaches to diabetes management, acknowledging the distinct risk profiles and outcomes evident between males and females</w:t>
      </w: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