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20" w:before="0"/>
        <w:jc w:val="center"/>
      </w:pPr>
      <w:r>
        <w:rPr>
          <w:rFonts w:ascii="Arial" w:cs="Arial" w:eastAsia="Arial" w:hAnsi="Arial"/>
          <w:b/>
          <w:bCs/>
          <w:color w:val="5B4FBF"/>
          <w:sz w:val="52"/>
          <w:szCs w:val="52"/>
        </w:rPr>
        <w:t xml:space="preserve">PROGRAMACIÓN NEUROLINGÜÍSTICA</w:t>
      </w:r>
    </w:p>
    <w:p>
      <w:pPr>
        <w:spacing w:after="80" w:before="0"/>
        <w:jc w:val="center"/>
      </w:pPr>
      <w:r>
        <w:rPr>
          <w:rFonts w:ascii="Arial" w:cs="Arial" w:eastAsia="Arial" w:hAnsi="Arial"/>
          <w:i/>
          <w:iCs/>
          <w:color w:val="666666"/>
          <w:sz w:val="26"/>
          <w:szCs w:val="26"/>
        </w:rPr>
        <w:t xml:space="preserve">Resumen de lecturas · Guía de aplicación práctica</w:t>
      </w:r>
    </w:p>
    <w:p>
      <w:pPr>
        <w:spacing w:after="40" w:before="0"/>
        <w:jc w:val="center"/>
      </w:pPr>
      <w:r>
        <w:rPr>
          <w:rFonts w:ascii="Arial" w:cs="Arial" w:eastAsia="Arial" w:hAnsi="Arial"/>
          <w:color w:val="666666"/>
          <w:sz w:val="22"/>
          <w:szCs w:val="22"/>
        </w:rPr>
        <w:t xml:space="preserve">Fabián Tejada</w:t>
      </w:r>
    </w:p>
    <w:p>
      <w:pPr>
        <w:pBdr>
          <w:bottom w:val="single" w:color="5B4FBF" w:sz="4" w:space="1"/>
        </w:pBdr>
        <w:spacing w:after="160" w:before="160"/>
      </w:pPr>
      <w:r>
        <w:t xml:space="preserve"/>
      </w:r>
    </w:p>
    <w:p>
      <w:pPr>
        <w:spacing w:after="0" w:before="240"/>
      </w:pPr>
      <w:r>
        <w:t xml:space="preserve"/>
      </w:r>
    </w:p>
    <w:p>
      <w:pPr>
        <w:spacing w:after="80" w:before="0"/>
      </w:pPr>
      <w:r>
        <w:rPr>
          <w:rFonts w:ascii="Arial" w:cs="Arial" w:eastAsia="Arial" w:hAnsi="Arial"/>
          <w:b/>
          <w:bCs/>
          <w:color w:val="5B4FBF"/>
          <w:sz w:val="18"/>
          <w:szCs w:val="18"/>
        </w:rPr>
        <w:t xml:space="preserve">LECTURA 1  </w:t>
      </w:r>
      <w:r>
        <w:rPr>
          <w:rFonts w:ascii="Arial" w:cs="Arial" w:eastAsia="Arial" w:hAnsi="Arial"/>
          <w:color w:val="666666"/>
          <w:sz w:val="18"/>
          <w:szCs w:val="18"/>
        </w:rPr>
        <w:t xml:space="preserve">Capítulo 4</w:t>
      </w:r>
    </w:p>
    <w:p>
      <w:pPr>
        <w:pStyle w:val="Heading1"/>
        <w:spacing w:after="160" w:before="400"/>
      </w:pPr>
      <w:r>
        <w:rPr>
          <w:rFonts w:ascii="Arial" w:cs="Arial" w:eastAsia="Arial" w:hAnsi="Arial"/>
          <w:b/>
          <w:bCs/>
          <w:color w:val="5B4FBF"/>
          <w:sz w:val="36"/>
          <w:szCs w:val="36"/>
        </w:rPr>
        <w:t xml:space="preserve">Presuposiciones de la PNL</w:t>
      </w:r>
    </w:p>
    <w:p>
      <w:pPr>
        <w:spacing w:after="60" w:before="60"/>
      </w:pPr>
      <w:r>
        <w:rPr>
          <w:rFonts w:ascii="Arial" w:cs="Arial" w:eastAsia="Arial" w:hAnsi="Arial"/>
          <w:color w:val="1A1A1A"/>
          <w:sz w:val="22"/>
          <w:szCs w:val="22"/>
        </w:rPr>
        <w:t xml:space="preserve">Las presuposiciones son el conjunto de creencias que deben adoptarse para practicar la PNL con efectividad. No representan verdades absolutas, sino marcos de pensamiento que maximizan los resultados en todo proceso de cambio y transformación.</w:t>
      </w:r>
    </w:p>
    <w:p>
      <w:pPr>
        <w:spacing w:after="0" w:before="80"/>
      </w:pPr>
      <w:r>
        <w:t xml:space="preserve"/>
      </w:r>
    </w:p>
    <w:p>
      <w:pPr>
        <w:spacing w:after="80" w:before="240"/>
      </w:pPr>
      <w:r>
        <w:rPr>
          <w:rFonts w:ascii="Arial" w:cs="Arial" w:eastAsia="Arial" w:hAnsi="Arial"/>
          <w:b/>
          <w:bCs/>
          <w:color w:val="5B4FBF"/>
          <w:sz w:val="22"/>
          <w:szCs w:val="22"/>
        </w:rPr>
        <w:t xml:space="preserve">IDEAS PRINCIPALES</w:t>
      </w:r>
    </w:p>
    <w:p>
      <w:pPr>
        <w:pStyle w:val="ListParagraph"/>
        <w:numPr>
          <w:ilvl w:val="0"/>
          <w:numId w:val="2"/>
        </w:numPr>
        <w:spacing w:after="40" w:before="40"/>
      </w:pPr>
      <w:r>
        <w:rPr>
          <w:rFonts w:ascii="Arial" w:cs="Arial" w:eastAsia="Arial" w:hAnsi="Arial"/>
          <w:color w:val="1A1A1A"/>
          <w:sz w:val="22"/>
          <w:szCs w:val="22"/>
        </w:rPr>
        <w:t xml:space="preserve">El mapa no es el territorio. Nuestra percepción de la realidad nunca es la realidad completa: solo percibimos lo que estamos programados para percibir. No es la realidad la que nos limita o empodera, sino el mapa que tenemos de ella.</w:t>
      </w:r>
    </w:p>
    <w:p>
      <w:pPr>
        <w:pStyle w:val="ListParagraph"/>
        <w:numPr>
          <w:ilvl w:val="0"/>
          <w:numId w:val="2"/>
        </w:numPr>
        <w:spacing w:after="40" w:before="40"/>
      </w:pPr>
      <w:r>
        <w:rPr>
          <w:rFonts w:ascii="Arial" w:cs="Arial" w:eastAsia="Arial" w:hAnsi="Arial"/>
          <w:color w:val="1A1A1A"/>
          <w:sz w:val="22"/>
          <w:szCs w:val="22"/>
        </w:rPr>
        <w:t xml:space="preserve">Respeto por el modelo del mundo de la otra persona. Cada ser humano tiene un modelo único del mundo. Entender, respetar y honrar esas diferencias es fundamental para comunicarse de manera efectiva.</w:t>
      </w:r>
    </w:p>
    <w:p>
      <w:pPr>
        <w:pStyle w:val="ListParagraph"/>
        <w:numPr>
          <w:ilvl w:val="0"/>
          <w:numId w:val="2"/>
        </w:numPr>
        <w:spacing w:after="40" w:before="40"/>
      </w:pPr>
      <w:r>
        <w:rPr>
          <w:rFonts w:ascii="Arial" w:cs="Arial" w:eastAsia="Arial" w:hAnsi="Arial"/>
          <w:color w:val="1A1A1A"/>
          <w:sz w:val="22"/>
          <w:szCs w:val="22"/>
        </w:rPr>
        <w:t xml:space="preserve">El significado de la comunicación es la respuesta que se obtiene. No son las palabras lo que comunica, sino cómo las decimos: tono, gestos y fisiología. Si no obtienes el resultado deseado, cambia tu estrategia.</w:t>
      </w:r>
    </w:p>
    <w:p>
      <w:pPr>
        <w:pStyle w:val="ListParagraph"/>
        <w:numPr>
          <w:ilvl w:val="0"/>
          <w:numId w:val="2"/>
        </w:numPr>
        <w:spacing w:after="40" w:before="40"/>
      </w:pPr>
      <w:r>
        <w:rPr>
          <w:rFonts w:ascii="Arial" w:cs="Arial" w:eastAsia="Arial" w:hAnsi="Arial"/>
          <w:color w:val="1A1A1A"/>
          <w:sz w:val="22"/>
          <w:szCs w:val="22"/>
        </w:rPr>
        <w:t xml:space="preserve">Las personas no son sus comportamientos. Acepta a la persona y cambia el comportamiento. Todo comportamiento tiene una intención positiva subyacente.</w:t>
      </w:r>
    </w:p>
    <w:p>
      <w:pPr>
        <w:pStyle w:val="ListParagraph"/>
        <w:numPr>
          <w:ilvl w:val="0"/>
          <w:numId w:val="2"/>
        </w:numPr>
        <w:spacing w:after="40" w:before="40"/>
      </w:pPr>
      <w:r>
        <w:rPr>
          <w:rFonts w:ascii="Arial" w:cs="Arial" w:eastAsia="Arial" w:hAnsi="Arial"/>
          <w:color w:val="1A1A1A"/>
          <w:sz w:val="22"/>
          <w:szCs w:val="22"/>
        </w:rPr>
        <w:t xml:space="preserve">Todas las personas hacen lo mejor que pueden con los recursos que tienen disponibles. No hay clientes resistentes, solo comunicadores inflexibles.</w:t>
      </w:r>
    </w:p>
    <w:p>
      <w:pPr>
        <w:pStyle w:val="ListParagraph"/>
        <w:numPr>
          <w:ilvl w:val="0"/>
          <w:numId w:val="2"/>
        </w:numPr>
        <w:spacing w:after="40" w:before="40"/>
      </w:pPr>
      <w:r>
        <w:rPr>
          <w:rFonts w:ascii="Arial" w:cs="Arial" w:eastAsia="Arial" w:hAnsi="Arial"/>
          <w:color w:val="1A1A1A"/>
          <w:sz w:val="22"/>
          <w:szCs w:val="22"/>
        </w:rPr>
        <w:t xml:space="preserve">No hay fracaso, solo retroalimentación (feedback). Cada resultado que no es el deseado es información para ajustar la estrategia y seguir avanzando.</w:t>
      </w:r>
    </w:p>
    <w:p>
      <w:pPr>
        <w:pStyle w:val="ListParagraph"/>
        <w:numPr>
          <w:ilvl w:val="0"/>
          <w:numId w:val="2"/>
        </w:numPr>
        <w:spacing w:after="40" w:before="40"/>
      </w:pPr>
      <w:r>
        <w:rPr>
          <w:rFonts w:ascii="Arial" w:cs="Arial" w:eastAsia="Arial" w:hAnsi="Arial"/>
          <w:color w:val="1A1A1A"/>
          <w:sz w:val="22"/>
          <w:szCs w:val="22"/>
        </w:rPr>
        <w:t xml:space="preserve">Mente y cuerpo son un sistema interconectado. No pensamos solo con el cerebro; pensamos con el cuerpo. Lo que ocurre en uno afecta directamente al otro.</w:t>
      </w:r>
    </w:p>
    <w:p>
      <w:pPr>
        <w:pStyle w:val="ListParagraph"/>
        <w:numPr>
          <w:ilvl w:val="0"/>
          <w:numId w:val="2"/>
        </w:numPr>
        <w:spacing w:after="40" w:before="40"/>
      </w:pPr>
      <w:r>
        <w:rPr>
          <w:rFonts w:ascii="Arial" w:cs="Arial" w:eastAsia="Arial" w:hAnsi="Arial"/>
          <w:color w:val="1A1A1A"/>
          <w:sz w:val="22"/>
          <w:szCs w:val="22"/>
        </w:rPr>
        <w:t xml:space="preserve">Enriquecer el mapa significa ampliar experiencias sensoriales y perspectivas, lo que genera más opciones al momento de evaluar un evento.</w:t>
      </w:r>
    </w:p>
    <w:p>
      <w:pPr>
        <w:pStyle w:val="ListParagraph"/>
        <w:numPr>
          <w:ilvl w:val="0"/>
          <w:numId w:val="2"/>
        </w:numPr>
        <w:spacing w:after="40" w:before="40"/>
      </w:pPr>
      <w:r>
        <w:rPr>
          <w:rFonts w:ascii="Arial" w:cs="Arial" w:eastAsia="Arial" w:hAnsi="Arial"/>
          <w:color w:val="1A1A1A"/>
          <w:sz w:val="22"/>
          <w:szCs w:val="22"/>
        </w:rPr>
        <w:t xml:space="preserve">Tú estás a cargo de tu mente y, por tanto, de tus resultados. Asumir total responsabilidad de los resultados es la base del cambio.</w:t>
      </w:r>
    </w:p>
    <w:p>
      <w:pPr>
        <w:pStyle w:val="ListParagraph"/>
        <w:numPr>
          <w:ilvl w:val="0"/>
          <w:numId w:val="2"/>
        </w:numPr>
        <w:spacing w:after="40" w:before="40"/>
      </w:pPr>
      <w:r>
        <w:rPr>
          <w:rFonts w:ascii="Arial" w:cs="Arial" w:eastAsia="Arial" w:hAnsi="Arial"/>
          <w:color w:val="1A1A1A"/>
          <w:sz w:val="22"/>
          <w:szCs w:val="22"/>
        </w:rPr>
        <w:t xml:space="preserve">La persona con mayor flexibilidad de conducta controlará el sistema. Más flexibilidad equivale a más éxito.</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5B4FBF" w:sz="2"/>
              <w:left w:val="single" w:color="5B4FBF" w:sz="2"/>
              <w:bottom w:val="single" w:color="5B4FBF" w:sz="2"/>
              <w:right w:val="single" w:color="5B4FBF" w:sz="2"/>
            </w:tcBorders>
            <w:shd w:fill="F0EEFF" w:val="clear"/>
            <w:tcMar>
              <w:top w:type="dxa" w:w="120"/>
              <w:left w:type="dxa" w:w="200"/>
              <w:bottom w:type="dxa" w:w="120"/>
              <w:right w:type="dxa" w:w="200"/>
            </w:tcMar>
          </w:tcPr>
          <w:p>
            <w:pPr>
              <w:spacing w:after="60" w:before="60"/>
            </w:pPr>
            <w:r>
              <w:rPr>
                <w:rFonts w:ascii="Arial" w:cs="Arial" w:eastAsia="Arial" w:hAnsi="Arial"/>
                <w:b/>
                <w:bCs/>
                <w:color w:val="5B4FBF"/>
                <w:sz w:val="20"/>
                <w:szCs w:val="20"/>
              </w:rPr>
              <w:t xml:space="preserve">PARA PONER EN PRÁCTICA</w:t>
            </w:r>
          </w:p>
          <w:p>
            <w:pPr>
              <w:spacing w:after="60" w:before="60"/>
            </w:pPr>
            <w:r>
              <w:rPr>
                <w:rFonts w:ascii="Arial" w:cs="Arial" w:eastAsia="Arial" w:hAnsi="Arial"/>
                <w:color w:val="1A1A1A"/>
                <w:sz w:val="22"/>
                <w:szCs w:val="22"/>
              </w:rPr>
              <w:t xml:space="preserve">Elige una situación reciente en la que hayas juzgado negativamente a alguien.</w:t>
            </w:r>
          </w:p>
          <w:p>
            <w:pPr>
              <w:spacing w:after="60" w:before="60"/>
            </w:pPr>
            <w:r>
              <w:rPr>
                <w:rFonts w:ascii="Arial" w:cs="Arial" w:eastAsia="Arial" w:hAnsi="Arial"/>
                <w:color w:val="1A1A1A"/>
                <w:sz w:val="22"/>
                <w:szCs w:val="22"/>
              </w:rPr>
              <w:t xml:space="preserve">Aplica la presuposición: "Esta persona está haciendo lo mejor que puede con los recursos que tiene".</w:t>
            </w:r>
          </w:p>
          <w:p>
            <w:pPr>
              <w:spacing w:after="60" w:before="60"/>
            </w:pPr>
            <w:r>
              <w:rPr>
                <w:rFonts w:ascii="Arial" w:cs="Arial" w:eastAsia="Arial" w:hAnsi="Arial"/>
                <w:color w:val="1A1A1A"/>
                <w:sz w:val="22"/>
                <w:szCs w:val="22"/>
              </w:rPr>
              <w:t xml:space="preserve">Escribe 3 explicaciones alternativas de su comportamiento, sin juzgarlo.</w:t>
            </w:r>
          </w:p>
          <w:p>
            <w:pPr>
              <w:spacing w:after="60" w:before="60"/>
            </w:pPr>
            <w:r>
              <w:rPr>
                <w:rFonts w:ascii="Arial" w:cs="Arial" w:eastAsia="Arial" w:hAnsi="Arial"/>
                <w:color w:val="1A1A1A"/>
                <w:sz w:val="22"/>
                <w:szCs w:val="22"/>
              </w:rPr>
              <w:t xml:space="preserve">Observa cómo cambia tu estado emocional cuando adoptas este marco.</w:t>
            </w:r>
          </w:p>
          <w:p>
            <w:pPr>
              <w:spacing w:after="60" w:before="60"/>
            </w:pPr>
            <w:r>
              <w:rPr>
                <w:rFonts w:ascii="Arial" w:cs="Arial" w:eastAsia="Arial" w:hAnsi="Arial"/>
                <w:color w:val="1A1A1A"/>
                <w:sz w:val="22"/>
                <w:szCs w:val="22"/>
              </w:rPr>
              <w:t xml:space="preserve">Bonus: identifica qué parte de tu propio mapa estaba operando en ese juicio.</w:t>
            </w:r>
          </w:p>
        </w:tc>
      </w:tr>
    </w:tbl>
    <w:p>
      <w:pPr>
        <w:spacing w:after="0" w:before="200"/>
      </w:pPr>
      <w:r>
        <w:t xml:space="preserve"/>
      </w:r>
    </w:p>
    <w:p>
      <w:r>
        <w:br w:type="page"/>
      </w:r>
    </w:p>
    <w:p>
      <w:pPr>
        <w:spacing w:after="80" w:before="0"/>
      </w:pPr>
      <w:r>
        <w:rPr>
          <w:rFonts w:ascii="Arial" w:cs="Arial" w:eastAsia="Arial" w:hAnsi="Arial"/>
          <w:b/>
          <w:bCs/>
          <w:color w:val="0F7E64"/>
          <w:sz w:val="18"/>
          <w:szCs w:val="18"/>
        </w:rPr>
        <w:t xml:space="preserve">LECTURA 2  </w:t>
      </w:r>
      <w:r>
        <w:rPr>
          <w:rFonts w:ascii="Arial" w:cs="Arial" w:eastAsia="Arial" w:hAnsi="Arial"/>
          <w:color w:val="666666"/>
          <w:sz w:val="18"/>
          <w:szCs w:val="18"/>
        </w:rPr>
        <w:t xml:space="preserve">Capítulos de motivación y fundamentos</w:t>
      </w:r>
    </w:p>
    <w:p>
      <w:pPr>
        <w:pStyle w:val="Heading1"/>
        <w:spacing w:after="160" w:before="400"/>
      </w:pPr>
      <w:r>
        <w:rPr>
          <w:rFonts w:ascii="Arial" w:cs="Arial" w:eastAsia="Arial" w:hAnsi="Arial"/>
          <w:b/>
          <w:bCs/>
          <w:color w:val="0F7E64"/>
          <w:sz w:val="36"/>
          <w:szCs w:val="36"/>
        </w:rPr>
        <w:t xml:space="preserve">Introducción a la PNL y motivación</w:t>
      </w:r>
    </w:p>
    <w:p>
      <w:pPr>
        <w:spacing w:after="60" w:before="60"/>
      </w:pPr>
      <w:r>
        <w:rPr>
          <w:rFonts w:ascii="Arial" w:cs="Arial" w:eastAsia="Arial" w:hAnsi="Arial"/>
          <w:color w:val="1A1A1A"/>
          <w:sz w:val="22"/>
          <w:szCs w:val="22"/>
        </w:rPr>
        <w:t xml:space="preserve">La PNL (Programación Neurolingüística) estudia cómo representamos nuestra experiencia a través de la neurología, cómo nos comunicamos con nosotros mismos y con los demás, y cómo podemos cambiar nuestras formas habituales de pensar, sentir y comportarnos para lograr resultados deseados.</w:t>
      </w:r>
    </w:p>
    <w:p>
      <w:pPr>
        <w:spacing w:after="0" w:before="80"/>
      </w:pPr>
      <w:r>
        <w:t xml:space="preserve"/>
      </w:r>
    </w:p>
    <w:p>
      <w:pPr>
        <w:spacing w:after="80" w:before="240"/>
      </w:pPr>
      <w:r>
        <w:rPr>
          <w:rFonts w:ascii="Arial" w:cs="Arial" w:eastAsia="Arial" w:hAnsi="Arial"/>
          <w:b/>
          <w:bCs/>
          <w:color w:val="0F7E64"/>
          <w:sz w:val="22"/>
          <w:szCs w:val="22"/>
        </w:rPr>
        <w:t xml:space="preserve">IDEAS PRINCIPALES</w:t>
      </w:r>
    </w:p>
    <w:p>
      <w:pPr>
        <w:pStyle w:val="ListParagraph"/>
        <w:numPr>
          <w:ilvl w:val="0"/>
          <w:numId w:val="2"/>
        </w:numPr>
        <w:spacing w:after="40" w:before="40"/>
      </w:pPr>
      <w:r>
        <w:rPr>
          <w:rFonts w:ascii="Arial" w:cs="Arial" w:eastAsia="Arial" w:hAnsi="Arial"/>
          <w:color w:val="1A1A1A"/>
          <w:sz w:val="22"/>
          <w:szCs w:val="22"/>
        </w:rPr>
        <w:t xml:space="preserve">¿Qué es la PNL? Es el estudio de cómo la mente procesa la experiencia (neuro), cómo nos comunicamos (lingüística) y cómo podemos reprogramar patrones de conducta (programación). En otras palabras: cómo utilizar el lenguaje de la mente para lograr consistentemente nuestros resultados deseados.</w:t>
      </w:r>
    </w:p>
    <w:p>
      <w:pPr>
        <w:pStyle w:val="ListParagraph"/>
        <w:numPr>
          <w:ilvl w:val="0"/>
          <w:numId w:val="2"/>
        </w:numPr>
        <w:spacing w:after="40" w:before="40"/>
      </w:pPr>
      <w:r>
        <w:rPr>
          <w:rFonts w:ascii="Arial" w:cs="Arial" w:eastAsia="Arial" w:hAnsi="Arial"/>
          <w:color w:val="1A1A1A"/>
          <w:sz w:val="22"/>
          <w:szCs w:val="22"/>
        </w:rPr>
        <w:t xml:space="preserve">Origen y modelado. Richard Bandler y John Grinder (1973) modelaron a los terapeutas más exitosos del mundo —Erickson, Satir, Perls— para extraer sus estrategias y enseñarlas a otros. El modelado es la esencia de la PNL.</w:t>
      </w:r>
    </w:p>
    <w:p>
      <w:pPr>
        <w:pStyle w:val="ListParagraph"/>
        <w:numPr>
          <w:ilvl w:val="0"/>
          <w:numId w:val="2"/>
        </w:numPr>
        <w:spacing w:after="40" w:before="40"/>
      </w:pPr>
      <w:r>
        <w:rPr>
          <w:rFonts w:ascii="Arial" w:cs="Arial" w:eastAsia="Arial" w:hAnsi="Arial"/>
          <w:color w:val="1A1A1A"/>
          <w:sz w:val="22"/>
          <w:szCs w:val="22"/>
        </w:rPr>
        <w:t xml:space="preserve">Los 6 pilares de la PNL: submodalidades y anclajes, estrategias, agudeza sensorial, rapport, lenguaje, y resultados (outcomes). Todo modelo y técnica de PNL nace de la combinación de estos pilares.</w:t>
      </w:r>
    </w:p>
    <w:p>
      <w:pPr>
        <w:pStyle w:val="ListParagraph"/>
        <w:numPr>
          <w:ilvl w:val="0"/>
          <w:numId w:val="2"/>
        </w:numPr>
        <w:spacing w:after="40" w:before="40"/>
      </w:pPr>
      <w:r>
        <w:rPr>
          <w:rFonts w:ascii="Arial" w:cs="Arial" w:eastAsia="Arial" w:hAnsi="Arial"/>
          <w:color w:val="1A1A1A"/>
          <w:sz w:val="22"/>
          <w:szCs w:val="22"/>
        </w:rPr>
        <w:t xml:space="preserve">La motivación es un estado interno que se activa a partir de representaciones internas. Las submodalidades (brillo, tamaño, distancia de la imagen) determinan la intensidad de la motivación.</w:t>
      </w:r>
    </w:p>
    <w:p>
      <w:pPr>
        <w:pStyle w:val="ListParagraph"/>
        <w:numPr>
          <w:ilvl w:val="0"/>
          <w:numId w:val="2"/>
        </w:numPr>
        <w:spacing w:after="40" w:before="40"/>
      </w:pPr>
      <w:r>
        <w:rPr>
          <w:rFonts w:ascii="Arial" w:cs="Arial" w:eastAsia="Arial" w:hAnsi="Arial"/>
          <w:color w:val="1A1A1A"/>
          <w:sz w:val="22"/>
          <w:szCs w:val="22"/>
        </w:rPr>
        <w:t xml:space="preserve">Modelo TOTE (Test-Operate-Test-Exit). La conducta es impulsada por objetivos, no por refuerzos externos. Comparamos constantemente el estado actual con el deseado y operamos para cerrar esa brecha.</w:t>
      </w:r>
    </w:p>
    <w:p>
      <w:pPr>
        <w:pStyle w:val="ListParagraph"/>
        <w:numPr>
          <w:ilvl w:val="0"/>
          <w:numId w:val="2"/>
        </w:numPr>
        <w:spacing w:after="40" w:before="40"/>
      </w:pPr>
      <w:r>
        <w:rPr>
          <w:rFonts w:ascii="Arial" w:cs="Arial" w:eastAsia="Arial" w:hAnsi="Arial"/>
          <w:color w:val="1A1A1A"/>
          <w:sz w:val="22"/>
          <w:szCs w:val="22"/>
        </w:rPr>
        <w:t xml:space="preserve">Valores y creencias son el motor de la motivación. La jerarquía de valores de una persona determinará cómo actúa y decide. Si algo entra en conflicto con sus valores, la motivación cae.</w:t>
      </w:r>
    </w:p>
    <w:p>
      <w:pPr>
        <w:pStyle w:val="ListParagraph"/>
        <w:numPr>
          <w:ilvl w:val="0"/>
          <w:numId w:val="2"/>
        </w:numPr>
        <w:spacing w:after="40" w:before="40"/>
      </w:pPr>
      <w:r>
        <w:rPr>
          <w:rFonts w:ascii="Arial" w:cs="Arial" w:eastAsia="Arial" w:hAnsi="Arial"/>
          <w:color w:val="1A1A1A"/>
          <w:sz w:val="22"/>
          <w:szCs w:val="22"/>
        </w:rPr>
        <w:t xml:space="preserve">La creación de un futuro atractivo e irresistible es obligatoria en todo proceso de cambio. Sin una visión sensorial clara de a dónde vamos, el cambio no se sostiene. El éxito ocurre primero en la mente, luego en el mundo físico.</w:t>
      </w:r>
    </w:p>
    <w:p>
      <w:pPr>
        <w:pStyle w:val="ListParagraph"/>
        <w:numPr>
          <w:ilvl w:val="0"/>
          <w:numId w:val="2"/>
        </w:numPr>
        <w:spacing w:after="40" w:before="40"/>
      </w:pPr>
      <w:r>
        <w:rPr>
          <w:rFonts w:ascii="Arial" w:cs="Arial" w:eastAsia="Arial" w:hAnsi="Arial"/>
          <w:color w:val="1A1A1A"/>
          <w:sz w:val="22"/>
          <w:szCs w:val="22"/>
        </w:rPr>
        <w:t xml:space="preserve">Time Line Therapy (TLT). Conjunto de técnicas que permiten liberar emociones negativas del pasado, decisiones limitantes, y crear el futuro deseado. Es la herramienta más poderosa de la PNL avanzada para el cambio profundo.</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F7E64" w:sz="2"/>
              <w:left w:val="single" w:color="0F7E64" w:sz="2"/>
              <w:bottom w:val="single" w:color="0F7E64" w:sz="2"/>
              <w:right w:val="single" w:color="0F7E64" w:sz="2"/>
            </w:tcBorders>
            <w:shd w:fill="E8FFF6" w:val="clear"/>
            <w:tcMar>
              <w:top w:type="dxa" w:w="120"/>
              <w:left w:type="dxa" w:w="200"/>
              <w:bottom w:type="dxa" w:w="120"/>
              <w:right w:type="dxa" w:w="200"/>
            </w:tcMar>
          </w:tcPr>
          <w:p>
            <w:pPr>
              <w:spacing w:after="60" w:before="60"/>
            </w:pPr>
            <w:r>
              <w:rPr>
                <w:rFonts w:ascii="Arial" w:cs="Arial" w:eastAsia="Arial" w:hAnsi="Arial"/>
                <w:b/>
                <w:bCs/>
                <w:color w:val="0F7E64"/>
                <w:sz w:val="20"/>
                <w:szCs w:val="20"/>
              </w:rPr>
              <w:t xml:space="preserve">PARA PONER EN PRÁCTICA</w:t>
            </w:r>
          </w:p>
          <w:p>
            <w:pPr>
              <w:spacing w:after="60" w:before="60"/>
            </w:pPr>
            <w:r>
              <w:rPr>
                <w:rFonts w:ascii="Arial" w:cs="Arial" w:eastAsia="Arial" w:hAnsi="Arial"/>
                <w:color w:val="1A1A1A"/>
                <w:sz w:val="22"/>
                <w:szCs w:val="22"/>
              </w:rPr>
              <w:t xml:space="preserve">Cierra los ojos e imagina que ya lograste tu objetivo más importante de este año.</w:t>
            </w:r>
          </w:p>
          <w:p>
            <w:pPr>
              <w:spacing w:after="60" w:before="60"/>
            </w:pPr>
            <w:r>
              <w:rPr>
                <w:rFonts w:ascii="Arial" w:cs="Arial" w:eastAsia="Arial" w:hAnsi="Arial"/>
                <w:color w:val="1A1A1A"/>
                <w:sz w:val="22"/>
                <w:szCs w:val="22"/>
              </w:rPr>
              <w:t xml:space="preserve">Responde con detalle sensorial: ¿Qué ves? ¿Qué escuchas? ¿Qué sientes en tu cuerpo?</w:t>
            </w:r>
          </w:p>
          <w:p>
            <w:pPr>
              <w:spacing w:after="60" w:before="60"/>
            </w:pPr>
            <w:r>
              <w:rPr>
                <w:rFonts w:ascii="Arial" w:cs="Arial" w:eastAsia="Arial" w:hAnsi="Arial"/>
                <w:color w:val="1A1A1A"/>
                <w:sz w:val="22"/>
                <w:szCs w:val="22"/>
              </w:rPr>
              <w:t xml:space="preserve">Descríbelo en tiempo presente y con la mayor precisión posible.</w:t>
            </w:r>
          </w:p>
          <w:p>
            <w:pPr>
              <w:spacing w:after="60" w:before="60"/>
            </w:pPr>
            <w:r>
              <w:rPr>
                <w:rFonts w:ascii="Arial" w:cs="Arial" w:eastAsia="Arial" w:hAnsi="Arial"/>
                <w:color w:val="1A1A1A"/>
                <w:sz w:val="22"/>
                <w:szCs w:val="22"/>
              </w:rPr>
              <w:t xml:space="preserve">Colócalo en tu línea de tiempo del futuro y siéntelo como si ya fuera real.</w:t>
            </w:r>
          </w:p>
          <w:p>
            <w:pPr>
              <w:spacing w:after="60" w:before="60"/>
            </w:pPr>
            <w:r>
              <w:rPr>
                <w:rFonts w:ascii="Arial" w:cs="Arial" w:eastAsia="Arial" w:hAnsi="Arial"/>
                <w:color w:val="1A1A1A"/>
                <w:sz w:val="22"/>
                <w:szCs w:val="22"/>
              </w:rPr>
              <w:t xml:space="preserve">Este ejercicio activa el proceso de creación de futuro que programa la mente inconsciente.</w:t>
            </w:r>
          </w:p>
        </w:tc>
      </w:tr>
    </w:tbl>
    <w:p>
      <w:pPr>
        <w:spacing w:after="0" w:before="200"/>
      </w:pPr>
      <w:r>
        <w:t xml:space="preserve"/>
      </w:r>
    </w:p>
    <w:p>
      <w:r>
        <w:br w:type="page"/>
      </w:r>
    </w:p>
    <w:p>
      <w:pPr>
        <w:spacing w:after="80" w:before="0"/>
      </w:pPr>
      <w:r>
        <w:rPr>
          <w:rFonts w:ascii="Arial" w:cs="Arial" w:eastAsia="Arial" w:hAnsi="Arial"/>
          <w:b/>
          <w:bCs/>
          <w:color w:val="A86B00"/>
          <w:sz w:val="18"/>
          <w:szCs w:val="18"/>
        </w:rPr>
        <w:t xml:space="preserve">LECTURA 3  </w:t>
      </w:r>
      <w:r>
        <w:rPr>
          <w:rFonts w:ascii="Arial" w:cs="Arial" w:eastAsia="Arial" w:hAnsi="Arial"/>
          <w:color w:val="666666"/>
          <w:sz w:val="18"/>
          <w:szCs w:val="18"/>
        </w:rPr>
        <w:t xml:space="preserve">Capítulo 11</w:t>
      </w:r>
    </w:p>
    <w:p>
      <w:pPr>
        <w:pStyle w:val="Heading1"/>
        <w:spacing w:after="160" w:before="400"/>
      </w:pPr>
      <w:r>
        <w:rPr>
          <w:rFonts w:ascii="Arial" w:cs="Arial" w:eastAsia="Arial" w:hAnsi="Arial"/>
          <w:b/>
          <w:bCs/>
          <w:color w:val="A86B00"/>
          <w:sz w:val="36"/>
          <w:szCs w:val="36"/>
        </w:rPr>
        <w:t xml:space="preserve">Submodalidades</w:t>
      </w:r>
    </w:p>
    <w:p>
      <w:pPr>
        <w:spacing w:after="60" w:before="60"/>
      </w:pPr>
      <w:r>
        <w:rPr>
          <w:rFonts w:ascii="Arial" w:cs="Arial" w:eastAsia="Arial" w:hAnsi="Arial"/>
          <w:color w:val="1A1A1A"/>
          <w:sz w:val="22"/>
          <w:szCs w:val="22"/>
        </w:rPr>
        <w:t xml:space="preserve">Las submodalidades son las cualidades específicas o detalles sensoriales que conforman nuestras representaciones internas del mundo. Son los pilares de la realidad subjetiva: el significado que le damos a cualquier experiencia no proviene del evento en sí, sino de cómo lo representamos internamente.</w:t>
      </w:r>
    </w:p>
    <w:p>
      <w:pPr>
        <w:spacing w:after="0" w:before="80"/>
      </w:pPr>
      <w:r>
        <w:t xml:space="preserve"/>
      </w:r>
    </w:p>
    <w:p>
      <w:pPr>
        <w:spacing w:after="80" w:before="240"/>
      </w:pPr>
      <w:r>
        <w:rPr>
          <w:rFonts w:ascii="Arial" w:cs="Arial" w:eastAsia="Arial" w:hAnsi="Arial"/>
          <w:b/>
          <w:bCs/>
          <w:color w:val="A86B00"/>
          <w:sz w:val="22"/>
          <w:szCs w:val="22"/>
        </w:rPr>
        <w:t xml:space="preserve">IDEAS PRINCIPALES</w:t>
      </w:r>
    </w:p>
    <w:p>
      <w:pPr>
        <w:pStyle w:val="ListParagraph"/>
        <w:numPr>
          <w:ilvl w:val="0"/>
          <w:numId w:val="2"/>
        </w:numPr>
        <w:spacing w:after="40" w:before="40"/>
      </w:pPr>
      <w:r>
        <w:rPr>
          <w:rFonts w:ascii="Arial" w:cs="Arial" w:eastAsia="Arial" w:hAnsi="Arial"/>
          <w:color w:val="1A1A1A"/>
          <w:sz w:val="22"/>
          <w:szCs w:val="22"/>
        </w:rPr>
        <w:t xml:space="preserve">¿Qué son las SMD? Son las subcaracterísticas de cada modalidad sensorial (visual, auditiva, kinestésica). En lo visual: brillo, color, tamaño, distancia, movimiento. En lo auditivo: volumen, tono, ritmo. En lo kinestésico: intensidad, temperatura, textura.</w:t>
      </w:r>
    </w:p>
    <w:p>
      <w:pPr>
        <w:pStyle w:val="ListParagraph"/>
        <w:numPr>
          <w:ilvl w:val="0"/>
          <w:numId w:val="2"/>
        </w:numPr>
        <w:spacing w:after="40" w:before="40"/>
      </w:pPr>
      <w:r>
        <w:rPr>
          <w:rFonts w:ascii="Arial" w:cs="Arial" w:eastAsia="Arial" w:hAnsi="Arial"/>
          <w:color w:val="1A1A1A"/>
          <w:sz w:val="22"/>
          <w:szCs w:val="22"/>
        </w:rPr>
        <w:t xml:space="preserve">El cerebro actúa como un proyector de imágenes. Las características de esas imágenes determinan el significado que les asignamos. Cambiar las SMD cambia el significado y, por tanto, la respuesta emocional.</w:t>
      </w:r>
    </w:p>
    <w:p>
      <w:pPr>
        <w:pStyle w:val="ListParagraph"/>
        <w:numPr>
          <w:ilvl w:val="0"/>
          <w:numId w:val="2"/>
        </w:numPr>
        <w:spacing w:after="40" w:before="40"/>
      </w:pPr>
      <w:r>
        <w:rPr>
          <w:rFonts w:ascii="Arial" w:cs="Arial" w:eastAsia="Arial" w:hAnsi="Arial"/>
          <w:color w:val="1A1A1A"/>
          <w:sz w:val="22"/>
          <w:szCs w:val="22"/>
        </w:rPr>
        <w:t xml:space="preserve">Drivers (conductores). Son las SMD críticas: las que, al cambiarlas, producen el mayor impacto en el significado de la experiencia. Los más comunes son: ubicación, tamaño, brillo y estado asociado/disociado.</w:t>
      </w:r>
    </w:p>
    <w:p>
      <w:pPr>
        <w:pStyle w:val="ListParagraph"/>
        <w:numPr>
          <w:ilvl w:val="0"/>
          <w:numId w:val="2"/>
        </w:numPr>
        <w:spacing w:after="40" w:before="40"/>
      </w:pPr>
      <w:r>
        <w:rPr>
          <w:rFonts w:ascii="Arial" w:cs="Arial" w:eastAsia="Arial" w:hAnsi="Arial"/>
          <w:color w:val="1A1A1A"/>
          <w:sz w:val="22"/>
          <w:szCs w:val="22"/>
        </w:rPr>
        <w:t xml:space="preserve">Asociado vs. disociado. Estar asociado significa vivir la experiencia desde adentro, en primera persona (mayor intensidad emocional). Estar disociado significa verte a ti mismo desde afuera (menor intensidad, más objetividad y distancia emocional).</w:t>
      </w:r>
    </w:p>
    <w:p>
      <w:pPr>
        <w:pStyle w:val="ListParagraph"/>
        <w:numPr>
          <w:ilvl w:val="0"/>
          <w:numId w:val="2"/>
        </w:numPr>
        <w:spacing w:after="40" w:before="40"/>
      </w:pPr>
      <w:r>
        <w:rPr>
          <w:rFonts w:ascii="Arial" w:cs="Arial" w:eastAsia="Arial" w:hAnsi="Arial"/>
          <w:color w:val="1A1A1A"/>
          <w:sz w:val="22"/>
          <w:szCs w:val="22"/>
        </w:rPr>
        <w:t xml:space="preserve">SMD analógicas vs. digitales. Las analógicas operan en un espectro continuo (brillo: de oscuro a muy brillante). Las digitales son binarias (color vs. blanco y negro; imagen fija vs. película).</w:t>
      </w:r>
    </w:p>
    <w:p>
      <w:pPr>
        <w:pStyle w:val="ListParagraph"/>
        <w:numPr>
          <w:ilvl w:val="0"/>
          <w:numId w:val="2"/>
        </w:numPr>
        <w:spacing w:after="40" w:before="40"/>
      </w:pPr>
      <w:r>
        <w:rPr>
          <w:rFonts w:ascii="Arial" w:cs="Arial" w:eastAsia="Arial" w:hAnsi="Arial"/>
          <w:color w:val="1A1A1A"/>
          <w:sz w:val="22"/>
          <w:szCs w:val="22"/>
        </w:rPr>
        <w:t xml:space="preserve">La sinestesia o efectos sinérgicos ocurren cuando cambiar una SMD modifica automáticamente otras. Por ejemplo, acercar una imagen normalmente la hace más grande y brillante.</w:t>
      </w:r>
    </w:p>
    <w:p>
      <w:pPr>
        <w:pStyle w:val="ListParagraph"/>
        <w:numPr>
          <w:ilvl w:val="0"/>
          <w:numId w:val="2"/>
        </w:numPr>
        <w:spacing w:after="40" w:before="40"/>
      </w:pPr>
      <w:r>
        <w:rPr>
          <w:rFonts w:ascii="Arial" w:cs="Arial" w:eastAsia="Arial" w:hAnsi="Arial"/>
          <w:color w:val="1A1A1A"/>
          <w:sz w:val="22"/>
          <w:szCs w:val="22"/>
        </w:rPr>
        <w:t xml:space="preserve">Técnicas principales: análisis de contraste (encontrar los drivers comparando dos R/I), mapeo transversal (transferir las SMD de un estado deseado al no deseado), patrón swish (instalar un nuevo patrón de respuesta), modelo rápido de fobias (doble disociación para liberar traumas y fobias).</w:t>
      </w:r>
    </w:p>
    <w:p>
      <w:pPr>
        <w:pStyle w:val="ListParagraph"/>
        <w:numPr>
          <w:ilvl w:val="0"/>
          <w:numId w:val="2"/>
        </w:numPr>
        <w:spacing w:after="40" w:before="40"/>
      </w:pPr>
      <w:r>
        <w:rPr>
          <w:rFonts w:ascii="Arial" w:cs="Arial" w:eastAsia="Arial" w:hAnsi="Arial"/>
          <w:color w:val="1A1A1A"/>
          <w:sz w:val="22"/>
          <w:szCs w:val="22"/>
        </w:rPr>
        <w:t xml:space="preserve">La doble disociación es la base del modelo de fobias rápido: te ves a ti mismo viendo el evento desde la cabina de proyección de un cine, creando una doble capa de distancia emocional.</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A86B00" w:sz="2"/>
              <w:left w:val="single" w:color="A86B00" w:sz="2"/>
              <w:bottom w:val="single" w:color="A86B00" w:sz="2"/>
              <w:right w:val="single" w:color="A86B00" w:sz="2"/>
            </w:tcBorders>
            <w:shd w:fill="FFF8E8" w:val="clear"/>
            <w:tcMar>
              <w:top w:type="dxa" w:w="120"/>
              <w:left w:type="dxa" w:w="200"/>
              <w:bottom w:type="dxa" w:w="120"/>
              <w:right w:type="dxa" w:w="200"/>
            </w:tcMar>
          </w:tcPr>
          <w:p>
            <w:pPr>
              <w:spacing w:after="60" w:before="60"/>
            </w:pPr>
            <w:r>
              <w:rPr>
                <w:rFonts w:ascii="Arial" w:cs="Arial" w:eastAsia="Arial" w:hAnsi="Arial"/>
                <w:b/>
                <w:bCs/>
                <w:color w:val="A86B00"/>
                <w:sz w:val="20"/>
                <w:szCs w:val="20"/>
              </w:rPr>
              <w:t xml:space="preserve">PARA PONER EN PRÁCTICA</w:t>
            </w:r>
          </w:p>
          <w:p>
            <w:pPr>
              <w:spacing w:after="60" w:before="60"/>
            </w:pPr>
            <w:r>
              <w:rPr>
                <w:rFonts w:ascii="Arial" w:cs="Arial" w:eastAsia="Arial" w:hAnsi="Arial"/>
                <w:color w:val="1A1A1A"/>
                <w:sz w:val="22"/>
                <w:szCs w:val="22"/>
              </w:rPr>
              <w:t xml:space="preserve">Piensa en algo que te genere poca motivación o apatía.</w:t>
            </w:r>
          </w:p>
          <w:p>
            <w:pPr>
              <w:spacing w:after="60" w:before="60"/>
            </w:pPr>
            <w:r>
              <w:rPr>
                <w:rFonts w:ascii="Arial" w:cs="Arial" w:eastAsia="Arial" w:hAnsi="Arial"/>
                <w:color w:val="1A1A1A"/>
                <w:sz w:val="22"/>
                <w:szCs w:val="22"/>
              </w:rPr>
              <w:t xml:space="preserve">Observa la imagen mental que tienes de ello: ¿está lejos o cerca? ¿es grande o pequeña? ¿brillante u opaca? ¿en color o blanco y negro?</w:t>
            </w:r>
          </w:p>
          <w:p>
            <w:pPr>
              <w:spacing w:after="60" w:before="60"/>
            </w:pPr>
            <w:r>
              <w:rPr>
                <w:rFonts w:ascii="Arial" w:cs="Arial" w:eastAsia="Arial" w:hAnsi="Arial"/>
                <w:color w:val="1A1A1A"/>
                <w:sz w:val="22"/>
                <w:szCs w:val="22"/>
              </w:rPr>
              <w:t xml:space="preserve">Ahora acércala, agrándala y auméntale el brillo.</w:t>
            </w:r>
          </w:p>
          <w:p>
            <w:pPr>
              <w:spacing w:after="60" w:before="60"/>
            </w:pPr>
            <w:r>
              <w:rPr>
                <w:rFonts w:ascii="Arial" w:cs="Arial" w:eastAsia="Arial" w:hAnsi="Arial"/>
                <w:color w:val="1A1A1A"/>
                <w:sz w:val="22"/>
                <w:szCs w:val="22"/>
              </w:rPr>
              <w:t xml:space="preserve">¿Cambió algo en tu nivel de interés o energía hacia ese tema?</w:t>
            </w:r>
          </w:p>
          <w:p>
            <w:pPr>
              <w:spacing w:after="60" w:before="60"/>
            </w:pPr>
            <w:r>
              <w:rPr>
                <w:rFonts w:ascii="Arial" w:cs="Arial" w:eastAsia="Arial" w:hAnsi="Arial"/>
                <w:color w:val="1A1A1A"/>
                <w:sz w:val="22"/>
                <w:szCs w:val="22"/>
              </w:rPr>
              <w:t xml:space="preserve">Para reducir una emoción negativa intensa: aléjate de la imagen, empequeñécela y ponla en blanco y negro. Observa cómo la emoción disminuye.</w:t>
            </w:r>
          </w:p>
        </w:tc>
      </w:tr>
    </w:tbl>
    <w:p>
      <w:pPr>
        <w:spacing w:after="0" w:before="200"/>
      </w:pPr>
      <w:r>
        <w:t xml:space="preserve"/>
      </w:r>
    </w:p>
    <w:p>
      <w:r>
        <w:br w:type="page"/>
      </w:r>
    </w:p>
    <w:p>
      <w:pPr>
        <w:pStyle w:val="Heading1"/>
        <w:spacing w:after="160" w:before="400"/>
      </w:pPr>
      <w:r>
        <w:rPr>
          <w:rFonts w:ascii="Arial" w:cs="Arial" w:eastAsia="Arial" w:hAnsi="Arial"/>
          <w:b/>
          <w:bCs/>
          <w:color w:val="1A1A1A"/>
          <w:sz w:val="36"/>
          <w:szCs w:val="36"/>
        </w:rPr>
        <w:t xml:space="preserve">Principios clave para la aplicación</w:t>
      </w:r>
    </w:p>
    <w:p>
      <w:pPr>
        <w:spacing w:after="60" w:before="60"/>
      </w:pPr>
      <w:r>
        <w:rPr>
          <w:rFonts w:ascii="Arial" w:cs="Arial" w:eastAsia="Arial" w:hAnsi="Arial"/>
          <w:color w:val="1A1A1A"/>
          <w:sz w:val="22"/>
          <w:szCs w:val="22"/>
        </w:rPr>
        <w:t xml:space="preserve">Estos principios integran los tres módulos de lectura y son los recordatorios esenciales para cualquier practitioner de PNL al momento de aplicar lo aprendido.</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EEEEE" w:val="clear"/>
            <w:tcMar>
              <w:top w:type="dxa" w:w="80"/>
              <w:left w:type="dxa" w:w="120"/>
              <w:bottom w:type="dxa" w:w="80"/>
              <w:right w:type="dxa" w:w="120"/>
            </w:tcMar>
            <w:vAlign w:val="center"/>
          </w:tcPr>
          <w:p>
            <w:pPr>
              <w:jc w:val="center"/>
            </w:pPr>
            <w:r>
              <w:rPr>
                <w:rFonts w:ascii="Arial" w:cs="Arial" w:eastAsia="Arial" w:hAnsi="Arial"/>
                <w:b/>
                <w:bCs/>
                <w:color w:val="5B4FBF"/>
                <w:sz w:val="24"/>
                <w:szCs w:val="24"/>
              </w:rPr>
              <w:t xml:space="preserve">01</w:t>
            </w:r>
          </w:p>
        </w:tc>
        <w:tc>
          <w:tcPr>
            <w:tcW w:type="dxa" w:w="8560"/>
            <w:tcBorders>
              <w:top w:val="none" w:color="FFFFFF" w:sz="0"/>
              <w:left w:val="none" w:color="FFFFFF" w:sz="0"/>
              <w:bottom w:val="none" w:color="FFFFFF" w:sz="0"/>
              <w:right w:val="none" w:color="FFFFFF" w:sz="0"/>
            </w:tcBorders>
            <w:shd w:fill="FAFAFA" w:val="clear"/>
            <w:tcMar>
              <w:top w:type="dxa" w:w="80"/>
              <w:left w:type="dxa" w:w="200"/>
              <w:bottom w:type="dxa" w:w="80"/>
              <w:right w:type="dxa" w:w="120"/>
            </w:tcMar>
          </w:tcPr>
          <w:p>
            <w:r>
              <w:rPr>
                <w:rFonts w:ascii="Arial" w:cs="Arial" w:eastAsia="Arial" w:hAnsi="Arial"/>
                <w:color w:val="1A1A1A"/>
                <w:sz w:val="22"/>
                <w:szCs w:val="22"/>
              </w:rPr>
              <w:t xml:space="preserve">Tu mapa no es la realidad. Siempre hay más perspectivas posibles de las que tu mente percibe en este momento. Ampliar el mapa equivale a ampliar las opciones.</w:t>
            </w:r>
          </w:p>
        </w:tc>
      </w:tr>
      <w:tr>
        <w:tc>
          <w:tcPr>
            <w:tcW w:type="dxa" w:w="800"/>
            <w:tcBorders>
              <w:top w:val="none" w:color="FFFFFF" w:sz="0"/>
              <w:left w:val="none" w:color="FFFFFF" w:sz="0"/>
              <w:bottom w:val="none" w:color="FFFFFF" w:sz="0"/>
              <w:right w:val="none" w:color="FFFFFF" w:sz="0"/>
            </w:tcBorders>
            <w:shd w:fill="FFFFFF" w:val="clear"/>
            <w:tcMar>
              <w:top w:type="dxa" w:w="6"/>
              <w:left w:type="dxa" w:w="0"/>
              <w:bottom w:type="dxa" w:w="6"/>
              <w:right w:type="dxa" w:w="0"/>
            </w:tcMar>
          </w:tcPr>
          <w:p>
            <w:r>
              <w:t xml:space="preserve"/>
            </w:r>
          </w:p>
        </w:tc>
        <w:tc>
          <w:tcPr>
            <w:tcW w:type="dxa" w:w="8560"/>
            <w:tcBorders>
              <w:top w:val="none" w:color="FFFFFF" w:sz="0"/>
              <w:left w:val="none" w:color="FFFFFF" w:sz="0"/>
              <w:bottom w:val="none" w:color="FFFFFF" w:sz="0"/>
              <w:right w:val="none" w:color="FFFFFF" w:sz="0"/>
            </w:tcBorders>
            <w:shd w:fill="FFFFFF" w:val="clear"/>
            <w:tcMar>
              <w:top w:type="dxa" w:w="6"/>
              <w:left w:type="dxa" w:w="0"/>
              <w:bottom w:type="dxa" w:w="6"/>
              <w:right w:type="dxa" w:w="0"/>
            </w:tcMar>
          </w:tcPr>
          <w:p>
            <w:r>
              <w:t xml:space="preserve"/>
            </w:r>
          </w:p>
        </w:tc>
      </w:tr>
      <w:tr>
        <w:tc>
          <w:tcPr>
            <w:tcW w:type="dxa" w:w="800"/>
            <w:tcBorders>
              <w:top w:val="none" w:color="FFFFFF" w:sz="0"/>
              <w:left w:val="none" w:color="FFFFFF" w:sz="0"/>
              <w:bottom w:val="none" w:color="FFFFFF" w:sz="0"/>
              <w:right w:val="none" w:color="FFFFFF" w:sz="0"/>
            </w:tcBorders>
            <w:shd w:fill="EEEEEE" w:val="clear"/>
            <w:tcMar>
              <w:top w:type="dxa" w:w="80"/>
              <w:left w:type="dxa" w:w="120"/>
              <w:bottom w:type="dxa" w:w="80"/>
              <w:right w:type="dxa" w:w="120"/>
            </w:tcMar>
            <w:vAlign w:val="center"/>
          </w:tcPr>
          <w:p>
            <w:pPr>
              <w:jc w:val="center"/>
            </w:pPr>
            <w:r>
              <w:rPr>
                <w:rFonts w:ascii="Arial" w:cs="Arial" w:eastAsia="Arial" w:hAnsi="Arial"/>
                <w:b/>
                <w:bCs/>
                <w:color w:val="5B4FBF"/>
                <w:sz w:val="24"/>
                <w:szCs w:val="24"/>
              </w:rPr>
              <w:t xml:space="preserve">02</w:t>
            </w:r>
          </w:p>
        </w:tc>
        <w:tc>
          <w:tcPr>
            <w:tcW w:type="dxa" w:w="8560"/>
            <w:tcBorders>
              <w:top w:val="none" w:color="FFFFFF" w:sz="0"/>
              <w:left w:val="none" w:color="FFFFFF" w:sz="0"/>
              <w:bottom w:val="none" w:color="FFFFFF" w:sz="0"/>
              <w:right w:val="none" w:color="FFFFFF" w:sz="0"/>
            </w:tcBorders>
            <w:shd w:fill="FAFAFA" w:val="clear"/>
            <w:tcMar>
              <w:top w:type="dxa" w:w="80"/>
              <w:left w:type="dxa" w:w="200"/>
              <w:bottom w:type="dxa" w:w="80"/>
              <w:right w:type="dxa" w:w="120"/>
            </w:tcMar>
          </w:tcPr>
          <w:p>
            <w:r>
              <w:rPr>
                <w:rFonts w:ascii="Arial" w:cs="Arial" w:eastAsia="Arial" w:hAnsi="Arial"/>
                <w:color w:val="1A1A1A"/>
                <w:sz w:val="22"/>
                <w:szCs w:val="22"/>
              </w:rPr>
              <w:t xml:space="preserve">La comunicación es la respuesta que obtienes. Si el resultado no es el deseado, eres tú quien debe cambiar de estrategia. No hay clientes resistentes, solo comunicadores inflexibles.</w:t>
            </w:r>
          </w:p>
        </w:tc>
      </w:tr>
      <w:tr>
        <w:tc>
          <w:tcPr>
            <w:tcW w:type="dxa" w:w="800"/>
            <w:tcBorders>
              <w:top w:val="none" w:color="FFFFFF" w:sz="0"/>
              <w:left w:val="none" w:color="FFFFFF" w:sz="0"/>
              <w:bottom w:val="none" w:color="FFFFFF" w:sz="0"/>
              <w:right w:val="none" w:color="FFFFFF" w:sz="0"/>
            </w:tcBorders>
            <w:shd w:fill="FFFFFF" w:val="clear"/>
            <w:tcMar>
              <w:top w:type="dxa" w:w="6"/>
              <w:left w:type="dxa" w:w="0"/>
              <w:bottom w:type="dxa" w:w="6"/>
              <w:right w:type="dxa" w:w="0"/>
            </w:tcMar>
          </w:tcPr>
          <w:p>
            <w:r>
              <w:t xml:space="preserve"/>
            </w:r>
          </w:p>
        </w:tc>
        <w:tc>
          <w:tcPr>
            <w:tcW w:type="dxa" w:w="8560"/>
            <w:tcBorders>
              <w:top w:val="none" w:color="FFFFFF" w:sz="0"/>
              <w:left w:val="none" w:color="FFFFFF" w:sz="0"/>
              <w:bottom w:val="none" w:color="FFFFFF" w:sz="0"/>
              <w:right w:val="none" w:color="FFFFFF" w:sz="0"/>
            </w:tcBorders>
            <w:shd w:fill="FFFFFF" w:val="clear"/>
            <w:tcMar>
              <w:top w:type="dxa" w:w="6"/>
              <w:left w:type="dxa" w:w="0"/>
              <w:bottom w:type="dxa" w:w="6"/>
              <w:right w:type="dxa" w:w="0"/>
            </w:tcMar>
          </w:tcPr>
          <w:p>
            <w:r>
              <w:t xml:space="preserve"/>
            </w:r>
          </w:p>
        </w:tc>
      </w:tr>
      <w:tr>
        <w:tc>
          <w:tcPr>
            <w:tcW w:type="dxa" w:w="800"/>
            <w:tcBorders>
              <w:top w:val="none" w:color="FFFFFF" w:sz="0"/>
              <w:left w:val="none" w:color="FFFFFF" w:sz="0"/>
              <w:bottom w:val="none" w:color="FFFFFF" w:sz="0"/>
              <w:right w:val="none" w:color="FFFFFF" w:sz="0"/>
            </w:tcBorders>
            <w:shd w:fill="EEEEEE" w:val="clear"/>
            <w:tcMar>
              <w:top w:type="dxa" w:w="80"/>
              <w:left w:type="dxa" w:w="120"/>
              <w:bottom w:type="dxa" w:w="80"/>
              <w:right w:type="dxa" w:w="120"/>
            </w:tcMar>
            <w:vAlign w:val="center"/>
          </w:tcPr>
          <w:p>
            <w:pPr>
              <w:jc w:val="center"/>
            </w:pPr>
            <w:r>
              <w:rPr>
                <w:rFonts w:ascii="Arial" w:cs="Arial" w:eastAsia="Arial" w:hAnsi="Arial"/>
                <w:b/>
                <w:bCs/>
                <w:color w:val="0F7E64"/>
                <w:sz w:val="24"/>
                <w:szCs w:val="24"/>
              </w:rPr>
              <w:t xml:space="preserve">03</w:t>
            </w:r>
          </w:p>
        </w:tc>
        <w:tc>
          <w:tcPr>
            <w:tcW w:type="dxa" w:w="8560"/>
            <w:tcBorders>
              <w:top w:val="none" w:color="FFFFFF" w:sz="0"/>
              <w:left w:val="none" w:color="FFFFFF" w:sz="0"/>
              <w:bottom w:val="none" w:color="FFFFFF" w:sz="0"/>
              <w:right w:val="none" w:color="FFFFFF" w:sz="0"/>
            </w:tcBorders>
            <w:shd w:fill="FAFAFA" w:val="clear"/>
            <w:tcMar>
              <w:top w:type="dxa" w:w="80"/>
              <w:left w:type="dxa" w:w="200"/>
              <w:bottom w:type="dxa" w:w="80"/>
              <w:right w:type="dxa" w:w="120"/>
            </w:tcMar>
          </w:tcPr>
          <w:p>
            <w:r>
              <w:rPr>
                <w:rFonts w:ascii="Arial" w:cs="Arial" w:eastAsia="Arial" w:hAnsi="Arial"/>
                <w:color w:val="1A1A1A"/>
                <w:sz w:val="22"/>
                <w:szCs w:val="22"/>
              </w:rPr>
              <w:t xml:space="preserve">No hay fracaso, solo feedback. Cada resultado que no es el esperado es información valiosa para ajustar la estrategia y reprogramar el siguiente intento.</w:t>
            </w:r>
          </w:p>
        </w:tc>
      </w:tr>
      <w:tr>
        <w:tc>
          <w:tcPr>
            <w:tcW w:type="dxa" w:w="800"/>
            <w:tcBorders>
              <w:top w:val="none" w:color="FFFFFF" w:sz="0"/>
              <w:left w:val="none" w:color="FFFFFF" w:sz="0"/>
              <w:bottom w:val="none" w:color="FFFFFF" w:sz="0"/>
              <w:right w:val="none" w:color="FFFFFF" w:sz="0"/>
            </w:tcBorders>
            <w:shd w:fill="FFFFFF" w:val="clear"/>
            <w:tcMar>
              <w:top w:type="dxa" w:w="6"/>
              <w:left w:type="dxa" w:w="0"/>
              <w:bottom w:type="dxa" w:w="6"/>
              <w:right w:type="dxa" w:w="0"/>
            </w:tcMar>
          </w:tcPr>
          <w:p>
            <w:r>
              <w:t xml:space="preserve"/>
            </w:r>
          </w:p>
        </w:tc>
        <w:tc>
          <w:tcPr>
            <w:tcW w:type="dxa" w:w="8560"/>
            <w:tcBorders>
              <w:top w:val="none" w:color="FFFFFF" w:sz="0"/>
              <w:left w:val="none" w:color="FFFFFF" w:sz="0"/>
              <w:bottom w:val="none" w:color="FFFFFF" w:sz="0"/>
              <w:right w:val="none" w:color="FFFFFF" w:sz="0"/>
            </w:tcBorders>
            <w:shd w:fill="FFFFFF" w:val="clear"/>
            <w:tcMar>
              <w:top w:type="dxa" w:w="6"/>
              <w:left w:type="dxa" w:w="0"/>
              <w:bottom w:type="dxa" w:w="6"/>
              <w:right w:type="dxa" w:w="0"/>
            </w:tcMar>
          </w:tcPr>
          <w:p>
            <w:r>
              <w:t xml:space="preserve"/>
            </w:r>
          </w:p>
        </w:tc>
      </w:tr>
      <w:tr>
        <w:tc>
          <w:tcPr>
            <w:tcW w:type="dxa" w:w="800"/>
            <w:tcBorders>
              <w:top w:val="none" w:color="FFFFFF" w:sz="0"/>
              <w:left w:val="none" w:color="FFFFFF" w:sz="0"/>
              <w:bottom w:val="none" w:color="FFFFFF" w:sz="0"/>
              <w:right w:val="none" w:color="FFFFFF" w:sz="0"/>
            </w:tcBorders>
            <w:shd w:fill="EEEEEE" w:val="clear"/>
            <w:tcMar>
              <w:top w:type="dxa" w:w="80"/>
              <w:left w:type="dxa" w:w="120"/>
              <w:bottom w:type="dxa" w:w="80"/>
              <w:right w:type="dxa" w:w="120"/>
            </w:tcMar>
            <w:vAlign w:val="center"/>
          </w:tcPr>
          <w:p>
            <w:pPr>
              <w:jc w:val="center"/>
            </w:pPr>
            <w:r>
              <w:rPr>
                <w:rFonts w:ascii="Arial" w:cs="Arial" w:eastAsia="Arial" w:hAnsi="Arial"/>
                <w:b/>
                <w:bCs/>
                <w:color w:val="0F7E64"/>
                <w:sz w:val="24"/>
                <w:szCs w:val="24"/>
              </w:rPr>
              <w:t xml:space="preserve">04</w:t>
            </w:r>
          </w:p>
        </w:tc>
        <w:tc>
          <w:tcPr>
            <w:tcW w:type="dxa" w:w="8560"/>
            <w:tcBorders>
              <w:top w:val="none" w:color="FFFFFF" w:sz="0"/>
              <w:left w:val="none" w:color="FFFFFF" w:sz="0"/>
              <w:bottom w:val="none" w:color="FFFFFF" w:sz="0"/>
              <w:right w:val="none" w:color="FFFFFF" w:sz="0"/>
            </w:tcBorders>
            <w:shd w:fill="FAFAFA" w:val="clear"/>
            <w:tcMar>
              <w:top w:type="dxa" w:w="80"/>
              <w:left w:type="dxa" w:w="200"/>
              <w:bottom w:type="dxa" w:w="80"/>
              <w:right w:type="dxa" w:w="120"/>
            </w:tcMar>
          </w:tcPr>
          <w:p>
            <w:r>
              <w:rPr>
                <w:rFonts w:ascii="Arial" w:cs="Arial" w:eastAsia="Arial" w:hAnsi="Arial"/>
                <w:color w:val="1A1A1A"/>
                <w:sz w:val="22"/>
                <w:szCs w:val="22"/>
              </w:rPr>
              <w:t xml:space="preserve">Toda conducta tiene una intención positiva. Antes de juzgar un comportamiento, busca la intención positiva que lo mueve. Acepta a la persona, cambia el comportamiento.</w:t>
            </w:r>
          </w:p>
        </w:tc>
      </w:tr>
      <w:tr>
        <w:tc>
          <w:tcPr>
            <w:tcW w:type="dxa" w:w="800"/>
            <w:tcBorders>
              <w:top w:val="none" w:color="FFFFFF" w:sz="0"/>
              <w:left w:val="none" w:color="FFFFFF" w:sz="0"/>
              <w:bottom w:val="none" w:color="FFFFFF" w:sz="0"/>
              <w:right w:val="none" w:color="FFFFFF" w:sz="0"/>
            </w:tcBorders>
            <w:shd w:fill="FFFFFF" w:val="clear"/>
            <w:tcMar>
              <w:top w:type="dxa" w:w="6"/>
              <w:left w:type="dxa" w:w="0"/>
              <w:bottom w:type="dxa" w:w="6"/>
              <w:right w:type="dxa" w:w="0"/>
            </w:tcMar>
          </w:tcPr>
          <w:p>
            <w:r>
              <w:t xml:space="preserve"/>
            </w:r>
          </w:p>
        </w:tc>
        <w:tc>
          <w:tcPr>
            <w:tcW w:type="dxa" w:w="8560"/>
            <w:tcBorders>
              <w:top w:val="none" w:color="FFFFFF" w:sz="0"/>
              <w:left w:val="none" w:color="FFFFFF" w:sz="0"/>
              <w:bottom w:val="none" w:color="FFFFFF" w:sz="0"/>
              <w:right w:val="none" w:color="FFFFFF" w:sz="0"/>
            </w:tcBorders>
            <w:shd w:fill="FFFFFF" w:val="clear"/>
            <w:tcMar>
              <w:top w:type="dxa" w:w="6"/>
              <w:left w:type="dxa" w:w="0"/>
              <w:bottom w:type="dxa" w:w="6"/>
              <w:right w:type="dxa" w:w="0"/>
            </w:tcMar>
          </w:tcPr>
          <w:p>
            <w:r>
              <w:t xml:space="preserve"/>
            </w:r>
          </w:p>
        </w:tc>
      </w:tr>
      <w:tr>
        <w:tc>
          <w:tcPr>
            <w:tcW w:type="dxa" w:w="800"/>
            <w:tcBorders>
              <w:top w:val="none" w:color="FFFFFF" w:sz="0"/>
              <w:left w:val="none" w:color="FFFFFF" w:sz="0"/>
              <w:bottom w:val="none" w:color="FFFFFF" w:sz="0"/>
              <w:right w:val="none" w:color="FFFFFF" w:sz="0"/>
            </w:tcBorders>
            <w:shd w:fill="EEEEEE" w:val="clear"/>
            <w:tcMar>
              <w:top w:type="dxa" w:w="80"/>
              <w:left w:type="dxa" w:w="120"/>
              <w:bottom w:type="dxa" w:w="80"/>
              <w:right w:type="dxa" w:w="120"/>
            </w:tcMar>
            <w:vAlign w:val="center"/>
          </w:tcPr>
          <w:p>
            <w:pPr>
              <w:jc w:val="center"/>
            </w:pPr>
            <w:r>
              <w:rPr>
                <w:rFonts w:ascii="Arial" w:cs="Arial" w:eastAsia="Arial" w:hAnsi="Arial"/>
                <w:b/>
                <w:bCs/>
                <w:color w:val="A86B00"/>
                <w:sz w:val="24"/>
                <w:szCs w:val="24"/>
              </w:rPr>
              <w:t xml:space="preserve">05</w:t>
            </w:r>
          </w:p>
        </w:tc>
        <w:tc>
          <w:tcPr>
            <w:tcW w:type="dxa" w:w="8560"/>
            <w:tcBorders>
              <w:top w:val="none" w:color="FFFFFF" w:sz="0"/>
              <w:left w:val="none" w:color="FFFFFF" w:sz="0"/>
              <w:bottom w:val="none" w:color="FFFFFF" w:sz="0"/>
              <w:right w:val="none" w:color="FFFFFF" w:sz="0"/>
            </w:tcBorders>
            <w:shd w:fill="FAFAFA" w:val="clear"/>
            <w:tcMar>
              <w:top w:type="dxa" w:w="80"/>
              <w:left w:type="dxa" w:w="200"/>
              <w:bottom w:type="dxa" w:w="80"/>
              <w:right w:type="dxa" w:w="120"/>
            </w:tcMar>
          </w:tcPr>
          <w:p>
            <w:r>
              <w:rPr>
                <w:rFonts w:ascii="Arial" w:cs="Arial" w:eastAsia="Arial" w:hAnsi="Arial"/>
                <w:color w:val="1A1A1A"/>
                <w:sz w:val="22"/>
                <w:szCs w:val="22"/>
              </w:rPr>
              <w:t xml:space="preserve">Las SMD controlan la emoción. Para cambiar cómo te sientes ante algo, cambia cómo lo representas internamente: distancia, brillo, tamaño y estado asociado/disociado son los drivers más poderosos.</w:t>
            </w:r>
          </w:p>
        </w:tc>
      </w:tr>
      <w:tr>
        <w:tc>
          <w:tcPr>
            <w:tcW w:type="dxa" w:w="800"/>
            <w:tcBorders>
              <w:top w:val="none" w:color="FFFFFF" w:sz="0"/>
              <w:left w:val="none" w:color="FFFFFF" w:sz="0"/>
              <w:bottom w:val="none" w:color="FFFFFF" w:sz="0"/>
              <w:right w:val="none" w:color="FFFFFF" w:sz="0"/>
            </w:tcBorders>
            <w:shd w:fill="FFFFFF" w:val="clear"/>
            <w:tcMar>
              <w:top w:type="dxa" w:w="6"/>
              <w:left w:type="dxa" w:w="0"/>
              <w:bottom w:type="dxa" w:w="6"/>
              <w:right w:type="dxa" w:w="0"/>
            </w:tcMar>
          </w:tcPr>
          <w:p>
            <w:r>
              <w:t xml:space="preserve"/>
            </w:r>
          </w:p>
        </w:tc>
        <w:tc>
          <w:tcPr>
            <w:tcW w:type="dxa" w:w="8560"/>
            <w:tcBorders>
              <w:top w:val="none" w:color="FFFFFF" w:sz="0"/>
              <w:left w:val="none" w:color="FFFFFF" w:sz="0"/>
              <w:bottom w:val="none" w:color="FFFFFF" w:sz="0"/>
              <w:right w:val="none" w:color="FFFFFF" w:sz="0"/>
            </w:tcBorders>
            <w:shd w:fill="FFFFFF" w:val="clear"/>
            <w:tcMar>
              <w:top w:type="dxa" w:w="6"/>
              <w:left w:type="dxa" w:w="0"/>
              <w:bottom w:type="dxa" w:w="6"/>
              <w:right w:type="dxa" w:w="0"/>
            </w:tcMar>
          </w:tcPr>
          <w:p>
            <w:r>
              <w:t xml:space="preserve"/>
            </w:r>
          </w:p>
        </w:tc>
      </w:tr>
      <w:tr>
        <w:tc>
          <w:tcPr>
            <w:tcW w:type="dxa" w:w="800"/>
            <w:tcBorders>
              <w:top w:val="none" w:color="FFFFFF" w:sz="0"/>
              <w:left w:val="none" w:color="FFFFFF" w:sz="0"/>
              <w:bottom w:val="none" w:color="FFFFFF" w:sz="0"/>
              <w:right w:val="none" w:color="FFFFFF" w:sz="0"/>
            </w:tcBorders>
            <w:shd w:fill="EEEEEE" w:val="clear"/>
            <w:tcMar>
              <w:top w:type="dxa" w:w="80"/>
              <w:left w:type="dxa" w:w="120"/>
              <w:bottom w:type="dxa" w:w="80"/>
              <w:right w:type="dxa" w:w="120"/>
            </w:tcMar>
            <w:vAlign w:val="center"/>
          </w:tcPr>
          <w:p>
            <w:pPr>
              <w:jc w:val="center"/>
            </w:pPr>
            <w:r>
              <w:rPr>
                <w:rFonts w:ascii="Arial" w:cs="Arial" w:eastAsia="Arial" w:hAnsi="Arial"/>
                <w:b/>
                <w:bCs/>
                <w:color w:val="A86B00"/>
                <w:sz w:val="24"/>
                <w:szCs w:val="24"/>
              </w:rPr>
              <w:t xml:space="preserve">06</w:t>
            </w:r>
          </w:p>
        </w:tc>
        <w:tc>
          <w:tcPr>
            <w:tcW w:type="dxa" w:w="8560"/>
            <w:tcBorders>
              <w:top w:val="none" w:color="FFFFFF" w:sz="0"/>
              <w:left w:val="none" w:color="FFFFFF" w:sz="0"/>
              <w:bottom w:val="none" w:color="FFFFFF" w:sz="0"/>
              <w:right w:val="none" w:color="FFFFFF" w:sz="0"/>
            </w:tcBorders>
            <w:shd w:fill="FAFAFA" w:val="clear"/>
            <w:tcMar>
              <w:top w:type="dxa" w:w="80"/>
              <w:left w:type="dxa" w:w="200"/>
              <w:bottom w:type="dxa" w:w="80"/>
              <w:right w:type="dxa" w:w="120"/>
            </w:tcMar>
          </w:tcPr>
          <w:p>
            <w:r>
              <w:rPr>
                <w:rFonts w:ascii="Arial" w:cs="Arial" w:eastAsia="Arial" w:hAnsi="Arial"/>
                <w:color w:val="1A1A1A"/>
                <w:sz w:val="22"/>
                <w:szCs w:val="22"/>
              </w:rPr>
              <w:t xml:space="preserve">El futuro atractivo es obligatorio. Todo proceso de cambio genuino debe terminar construyendo una visión irresistible de a dónde vas, no solo liberando el pasado. Sin futuro atractivo, el cambio no se sostiene.</w:t>
            </w:r>
          </w:p>
        </w:tc>
      </w:tr>
      <w:tr>
        <w:tc>
          <w:tcPr>
            <w:tcW w:type="dxa" w:w="800"/>
            <w:tcBorders>
              <w:top w:val="none" w:color="FFFFFF" w:sz="0"/>
              <w:left w:val="none" w:color="FFFFFF" w:sz="0"/>
              <w:bottom w:val="none" w:color="FFFFFF" w:sz="0"/>
              <w:right w:val="none" w:color="FFFFFF" w:sz="0"/>
            </w:tcBorders>
            <w:shd w:fill="FFFFFF" w:val="clear"/>
            <w:tcMar>
              <w:top w:type="dxa" w:w="6"/>
              <w:left w:type="dxa" w:w="0"/>
              <w:bottom w:type="dxa" w:w="6"/>
              <w:right w:type="dxa" w:w="0"/>
            </w:tcMar>
          </w:tcPr>
          <w:p>
            <w:r>
              <w:t xml:space="preserve"/>
            </w:r>
          </w:p>
        </w:tc>
        <w:tc>
          <w:tcPr>
            <w:tcW w:type="dxa" w:w="8560"/>
            <w:tcBorders>
              <w:top w:val="none" w:color="FFFFFF" w:sz="0"/>
              <w:left w:val="none" w:color="FFFFFF" w:sz="0"/>
              <w:bottom w:val="none" w:color="FFFFFF" w:sz="0"/>
              <w:right w:val="none" w:color="FFFFFF" w:sz="0"/>
            </w:tcBorders>
            <w:shd w:fill="FFFFFF" w:val="clear"/>
            <w:tcMar>
              <w:top w:type="dxa" w:w="6"/>
              <w:left w:type="dxa" w:w="0"/>
              <w:bottom w:type="dxa" w:w="6"/>
              <w:right w:type="dxa" w:w="0"/>
            </w:tcMar>
          </w:tcPr>
          <w:p>
            <w:r>
              <w:t xml:space="preserve"/>
            </w:r>
          </w:p>
        </w:tc>
      </w:tr>
      <w:tr>
        <w:tc>
          <w:tcPr>
            <w:tcW w:type="dxa" w:w="800"/>
            <w:tcBorders>
              <w:top w:val="none" w:color="FFFFFF" w:sz="0"/>
              <w:left w:val="none" w:color="FFFFFF" w:sz="0"/>
              <w:bottom w:val="none" w:color="FFFFFF" w:sz="0"/>
              <w:right w:val="none" w:color="FFFFFF" w:sz="0"/>
            </w:tcBorders>
            <w:shd w:fill="EEEEEE" w:val="clear"/>
            <w:tcMar>
              <w:top w:type="dxa" w:w="80"/>
              <w:left w:type="dxa" w:w="120"/>
              <w:bottom w:type="dxa" w:w="80"/>
              <w:right w:type="dxa" w:w="120"/>
            </w:tcMar>
            <w:vAlign w:val="center"/>
          </w:tcPr>
          <w:p>
            <w:pPr>
              <w:jc w:val="center"/>
            </w:pPr>
            <w:r>
              <w:rPr>
                <w:rFonts w:ascii="Arial" w:cs="Arial" w:eastAsia="Arial" w:hAnsi="Arial"/>
                <w:b/>
                <w:bCs/>
                <w:color w:val="1A1A1A"/>
                <w:sz w:val="24"/>
                <w:szCs w:val="24"/>
              </w:rPr>
              <w:t xml:space="preserve">07</w:t>
            </w:r>
          </w:p>
        </w:tc>
        <w:tc>
          <w:tcPr>
            <w:tcW w:type="dxa" w:w="8560"/>
            <w:tcBorders>
              <w:top w:val="none" w:color="FFFFFF" w:sz="0"/>
              <w:left w:val="none" w:color="FFFFFF" w:sz="0"/>
              <w:bottom w:val="none" w:color="FFFFFF" w:sz="0"/>
              <w:right w:val="none" w:color="FFFFFF" w:sz="0"/>
            </w:tcBorders>
            <w:shd w:fill="FAFAFA" w:val="clear"/>
            <w:tcMar>
              <w:top w:type="dxa" w:w="80"/>
              <w:left w:type="dxa" w:w="200"/>
              <w:bottom w:type="dxa" w:w="80"/>
              <w:right w:type="dxa" w:w="120"/>
            </w:tcMar>
          </w:tcPr>
          <w:p>
            <w:r>
              <w:rPr>
                <w:rFonts w:ascii="Arial" w:cs="Arial" w:eastAsia="Arial" w:hAnsi="Arial"/>
                <w:color w:val="1A1A1A"/>
                <w:sz w:val="22"/>
                <w:szCs w:val="22"/>
              </w:rPr>
              <w:t xml:space="preserve">Más flexibilidad equivale a más éxito. El sistema o persona con mayor variedad de conductas controla la interacción. Nunca repitas la misma estrategia si no está dando resultados.</w:t>
            </w:r>
          </w:p>
        </w:tc>
      </w:tr>
      <w:tr>
        <w:tc>
          <w:tcPr>
            <w:tcW w:type="dxa" w:w="800"/>
            <w:tcBorders>
              <w:top w:val="none" w:color="FFFFFF" w:sz="0"/>
              <w:left w:val="none" w:color="FFFFFF" w:sz="0"/>
              <w:bottom w:val="none" w:color="FFFFFF" w:sz="0"/>
              <w:right w:val="none" w:color="FFFFFF" w:sz="0"/>
            </w:tcBorders>
            <w:shd w:fill="FFFFFF" w:val="clear"/>
            <w:tcMar>
              <w:top w:type="dxa" w:w="6"/>
              <w:left w:type="dxa" w:w="0"/>
              <w:bottom w:type="dxa" w:w="6"/>
              <w:right w:type="dxa" w:w="0"/>
            </w:tcMar>
          </w:tcPr>
          <w:p>
            <w:r>
              <w:t xml:space="preserve"/>
            </w:r>
          </w:p>
        </w:tc>
        <w:tc>
          <w:tcPr>
            <w:tcW w:type="dxa" w:w="8560"/>
            <w:tcBorders>
              <w:top w:val="none" w:color="FFFFFF" w:sz="0"/>
              <w:left w:val="none" w:color="FFFFFF" w:sz="0"/>
              <w:bottom w:val="none" w:color="FFFFFF" w:sz="0"/>
              <w:right w:val="none" w:color="FFFFFF" w:sz="0"/>
            </w:tcBorders>
            <w:shd w:fill="FFFFFF" w:val="clear"/>
            <w:tcMar>
              <w:top w:type="dxa" w:w="6"/>
              <w:left w:type="dxa" w:w="0"/>
              <w:bottom w:type="dxa" w:w="6"/>
              <w:right w:type="dxa" w:w="0"/>
            </w:tcMar>
          </w:tcPr>
          <w:p>
            <w:r>
              <w:t xml:space="preserve"/>
            </w:r>
          </w:p>
        </w:tc>
      </w:tr>
      <w:tr>
        <w:tc>
          <w:tcPr>
            <w:tcW w:type="dxa" w:w="800"/>
            <w:tcBorders>
              <w:top w:val="none" w:color="FFFFFF" w:sz="0"/>
              <w:left w:val="none" w:color="FFFFFF" w:sz="0"/>
              <w:bottom w:val="none" w:color="FFFFFF" w:sz="0"/>
              <w:right w:val="none" w:color="FFFFFF" w:sz="0"/>
            </w:tcBorders>
            <w:shd w:fill="EEEEEE" w:val="clear"/>
            <w:tcMar>
              <w:top w:type="dxa" w:w="80"/>
              <w:left w:type="dxa" w:w="120"/>
              <w:bottom w:type="dxa" w:w="80"/>
              <w:right w:type="dxa" w:w="120"/>
            </w:tcMar>
            <w:vAlign w:val="center"/>
          </w:tcPr>
          <w:p>
            <w:pPr>
              <w:jc w:val="center"/>
            </w:pPr>
            <w:r>
              <w:rPr>
                <w:rFonts w:ascii="Arial" w:cs="Arial" w:eastAsia="Arial" w:hAnsi="Arial"/>
                <w:b/>
                <w:bCs/>
                <w:color w:val="1A1A1A"/>
                <w:sz w:val="24"/>
                <w:szCs w:val="24"/>
              </w:rPr>
              <w:t xml:space="preserve">08</w:t>
            </w:r>
          </w:p>
        </w:tc>
        <w:tc>
          <w:tcPr>
            <w:tcW w:type="dxa" w:w="8560"/>
            <w:tcBorders>
              <w:top w:val="none" w:color="FFFFFF" w:sz="0"/>
              <w:left w:val="none" w:color="FFFFFF" w:sz="0"/>
              <w:bottom w:val="none" w:color="FFFFFF" w:sz="0"/>
              <w:right w:val="none" w:color="FFFFFF" w:sz="0"/>
            </w:tcBorders>
            <w:shd w:fill="FAFAFA" w:val="clear"/>
            <w:tcMar>
              <w:top w:type="dxa" w:w="80"/>
              <w:left w:type="dxa" w:w="200"/>
              <w:bottom w:type="dxa" w:w="80"/>
              <w:right w:type="dxa" w:w="120"/>
            </w:tcMar>
          </w:tcPr>
          <w:p>
            <w:r>
              <w:rPr>
                <w:rFonts w:ascii="Arial" w:cs="Arial" w:eastAsia="Arial" w:hAnsi="Arial"/>
                <w:color w:val="1A1A1A"/>
                <w:sz w:val="22"/>
                <w:szCs w:val="22"/>
              </w:rPr>
              <w:t xml:space="preserve">La PNL es una actitud antes que una técnica. Las presuposiciones son el juego de creencias desde el que opera el practitioner. Sin esa actitud, las técnicas pierden su poder.</w:t>
            </w:r>
          </w:p>
        </w:tc>
      </w:tr>
    </w:tbl>
    <w:p>
      <w:pPr>
        <w:spacing w:after="0" w:before="240"/>
      </w:pPr>
      <w:r>
        <w:t xml:space="preserve"/>
      </w:r>
    </w:p>
    <w:p>
      <w:pPr>
        <w:pBdr>
          <w:bottom w:val="single" w:color="DDDDDD" w:sz="4" w:space="1"/>
        </w:pBdr>
        <w:spacing w:after="160" w:before="160"/>
      </w:pPr>
      <w:r>
        <w:t xml:space="preserve"/>
      </w:r>
    </w:p>
    <w:p>
      <w:pPr>
        <w:spacing w:after="0" w:before="120"/>
        <w:jc w:val="center"/>
      </w:pPr>
      <w:r>
        <w:rPr>
          <w:rFonts w:ascii="Arial" w:cs="Arial" w:eastAsia="Arial" w:hAnsi="Arial"/>
          <w:i/>
          <w:iCs/>
          <w:color w:val="666666"/>
          <w:sz w:val="18"/>
          <w:szCs w:val="18"/>
        </w:rPr>
        <w:t xml:space="preserve">Resumen elaborado en base a los materiales de estudio de PNL de Fabián Tejada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2026-06-24T21:35:50.097Z</dcterms:created>
  <dcterms:modified xsi:type="dcterms:W3CDTF">2026-06-24T21:35:50.098Z</dcterms:modified>
</cp:coreProperties>
</file>

<file path=docProps/custom.xml><?xml version="1.0" encoding="utf-8"?>
<Properties xmlns="http://schemas.openxmlformats.org/officeDocument/2006/custom-properties" xmlns:vt="http://schemas.openxmlformats.org/officeDocument/2006/docPropsVTypes"/>
</file>