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E5339"/>
          <w:sz w:val="36"/>
        </w:rPr>
        <w:t>FICHE PRÉPARATION CERTIFICATION HAS</w:t>
      </w:r>
    </w:p>
    <w:p>
      <w:pPr>
        <w:pStyle w:val="Heading2"/>
      </w:pPr>
      <w:r>
        <w:rPr>
          <w:rFonts w:ascii="Arial" w:hAnsi="Arial"/>
          <w:color w:val="8B9D83"/>
          <w:sz w:val="28"/>
        </w:rPr>
        <w:t>Critère impératif 3.3-1 : Prise en charge de la douleur</w:t>
      </w:r>
    </w:p>
    <w:p>
      <w:r>
        <w:t>____________________________________________________________</w:t>
      </w:r>
    </w:p>
    <w:p>
      <w:r>
        <w:rPr>
          <w:rFonts w:ascii="Arial" w:hAnsi="Arial"/>
        </w:rPr>
        <w:t>**EHPAD Belle Viste** - Saint-Gély-du-Fesc (70 lits)</w:t>
      </w:r>
    </w:p>
    <w:p>
      <w:r>
        <w:rPr>
          <w:rFonts w:ascii="Arial" w:hAnsi="Arial"/>
        </w:rPr>
        <w:t>**Certification HAS** - Novembre 2024</w:t>
      </w:r>
    </w:p>
    <w:p>
      <w:r>
        <w:rPr>
          <w:rFonts w:ascii="Arial" w:hAnsi="Arial"/>
        </w:rPr>
        <w:t>**Charte graphique** : Vert Sapin #2E5339 | Vert Sauge #8B9D83 | Vert Menthe #C8E6C9</w:t>
      </w:r>
    </w:p>
    <w:p>
      <w:r>
        <w:t>____________________________________________________________</w:t>
      </w:r>
    </w:p>
    <w:p>
      <w:pPr>
        <w:pStyle w:val="Heading2"/>
      </w:pPr>
      <w:r>
        <w:rPr>
          <w:rFonts w:ascii="Arial" w:hAnsi="Arial"/>
          <w:color w:val="8B9D83"/>
          <w:sz w:val="28"/>
        </w:rPr>
        <w:t>1. RÉFÉRENTIEL HAS</w:t>
      </w:r>
    </w:p>
    <w:p>
      <w:pPr>
        <w:pStyle w:val="Heading3"/>
      </w:pPr>
      <w:r>
        <w:t>Critère 3.3-1 : La prise en charge de la douleur</w:t>
      </w:r>
    </w:p>
    <w:p>
      <w:r>
        <w:rPr>
          <w:rFonts w:ascii="Arial" w:hAnsi="Arial"/>
        </w:rPr>
        <w:t>**Définition :**</w:t>
      </w:r>
    </w:p>
    <w:p>
      <w:r>
        <w:rPr>
          <w:rFonts w:ascii="Arial" w:hAnsi="Arial"/>
        </w:rPr>
        <w:t>L'établissement met en œuvre une démarche d'évaluation, de prévention et de traitement de la douleur pour garantir le confort et la dignité des résidents.</w:t>
      </w:r>
    </w:p>
    <w:p>
      <w:r>
        <w:rPr>
          <w:rFonts w:ascii="Arial" w:hAnsi="Arial"/>
        </w:rPr>
        <w:t>**Éléments d'appréciation :**</w:t>
      </w:r>
    </w:p>
    <w:p>
      <w:pPr>
        <w:pStyle w:val="ListBullet"/>
      </w:pPr>
      <w:r>
        <w:t>Politique institutionnelle de prise en charge de la douleur</w:t>
      </w:r>
    </w:p>
    <w:p>
      <w:pPr>
        <w:pStyle w:val="ListBullet"/>
      </w:pPr>
      <w:r>
        <w:t>Évaluation systématique de la douleur avec outils adaptés</w:t>
      </w:r>
    </w:p>
    <w:p>
      <w:pPr>
        <w:pStyle w:val="ListBullet"/>
      </w:pPr>
      <w:r>
        <w:t>Réévaluation après traitement antalgique</w:t>
      </w:r>
    </w:p>
    <w:p>
      <w:pPr>
        <w:pStyle w:val="ListBullet"/>
      </w:pPr>
      <w:r>
        <w:t>Traçabilité dans le dossier du résident</w:t>
      </w:r>
    </w:p>
    <w:p>
      <w:pPr>
        <w:pStyle w:val="ListBullet"/>
      </w:pPr>
      <w:r>
        <w:t>Formation des professionnels à l'évaluation et au traitement</w:t>
      </w:r>
    </w:p>
    <w:p>
      <w:pPr>
        <w:pStyle w:val="ListBullet"/>
      </w:pPr>
      <w:r>
        <w:t>Participation au CLUD (Comité de Lutte contre la Douleur) ou équivalent</w:t>
      </w:r>
    </w:p>
    <w:p>
      <w:pPr>
        <w:pStyle w:val="ListBullet"/>
      </w:pPr>
      <w:r>
        <w:t>Accès aux traitements antalgiques et aux thérapies non médicamenteuses</w:t>
      </w:r>
    </w:p>
    <w:p>
      <w:r>
        <w:t>____________________________________________________________</w:t>
      </w:r>
    </w:p>
    <w:p>
      <w:pPr>
        <w:pStyle w:val="Heading2"/>
      </w:pPr>
      <w:r>
        <w:rPr>
          <w:rFonts w:ascii="Arial" w:hAnsi="Arial"/>
          <w:color w:val="8B9D83"/>
          <w:sz w:val="28"/>
        </w:rPr>
        <w:t>2. EXIGENCES CLÉS</w:t>
      </w:r>
    </w:p>
    <w:p>
      <w:pPr>
        <w:pStyle w:val="Heading3"/>
      </w:pPr>
      <w:r>
        <w:t>Points essentiels à démontrer :</w:t>
      </w:r>
    </w:p>
    <w:p>
      <w:pPr>
        <w:pStyle w:val="ListNumber"/>
      </w:pPr>
      <w:r>
        <w:t>**Évaluation systématique de la douleur**</w:t>
      </w:r>
    </w:p>
    <w:p>
      <w:pPr>
        <w:pStyle w:val="ListBullet"/>
      </w:pPr>
      <w:r>
        <w:t>À l'admission et régulièrement</w:t>
      </w:r>
    </w:p>
    <w:p>
      <w:pPr>
        <w:pStyle w:val="ListBullet"/>
      </w:pPr>
      <w:r>
        <w:t>Utilisation d'échelles validées (EVA, EN, Doloplus, ECPA, Algoplus)</w:t>
      </w:r>
    </w:p>
    <w:p>
      <w:pPr>
        <w:pStyle w:val="ListBullet"/>
      </w:pPr>
      <w:r>
        <w:t>Adaptation selon capacités de communication</w:t>
      </w:r>
    </w:p>
    <w:p>
      <w:pPr>
        <w:pStyle w:val="ListBullet"/>
      </w:pPr>
      <w:r>
        <w:t>Traçabilité dans le dossier (5ème paramètre vital)</w:t>
      </w:r>
    </w:p>
    <w:p>
      <w:pPr>
        <w:pStyle w:val="ListNumber"/>
      </w:pPr>
      <w:r>
        <w:t>**Politique institutionnelle**</w:t>
      </w:r>
    </w:p>
    <w:p>
      <w:pPr>
        <w:pStyle w:val="ListBullet"/>
      </w:pPr>
      <w:r>
        <w:t>Protocoles de prise en charge formalisés</w:t>
      </w:r>
    </w:p>
    <w:p>
      <w:pPr>
        <w:pStyle w:val="ListBullet"/>
      </w:pPr>
      <w:r>
        <w:t>CLUD actif avec réunions régulières</w:t>
      </w:r>
    </w:p>
    <w:p>
      <w:pPr>
        <w:pStyle w:val="ListBullet"/>
      </w:pPr>
      <w:r>
        <w:t>Référent douleur identifié</w:t>
      </w:r>
    </w:p>
    <w:p>
      <w:pPr>
        <w:pStyle w:val="ListBullet"/>
      </w:pPr>
      <w:r>
        <w:t>Plan d'actions annuel</w:t>
      </w:r>
    </w:p>
    <w:p>
      <w:pPr>
        <w:pStyle w:val="ListNumber"/>
      </w:pPr>
      <w:r>
        <w:t>**Traitement adapté**</w:t>
      </w:r>
    </w:p>
    <w:p>
      <w:pPr>
        <w:pStyle w:val="ListBullet"/>
      </w:pPr>
      <w:r>
        <w:t>Antalgiques disponibles et prescrits selon pallier OMS</w:t>
      </w:r>
    </w:p>
    <w:p>
      <w:pPr>
        <w:pStyle w:val="ListBullet"/>
      </w:pPr>
      <w:r>
        <w:t>Réévaluation après administration</w:t>
      </w:r>
    </w:p>
    <w:p>
      <w:pPr>
        <w:pStyle w:val="ListBullet"/>
      </w:pPr>
      <w:r>
        <w:t>Techniques non médicamenteuses (massage, relaxation, musicothérapie)</w:t>
      </w:r>
    </w:p>
    <w:p>
      <w:pPr>
        <w:pStyle w:val="ListBullet"/>
      </w:pPr>
      <w:r>
        <w:t>Collaboration médecin traitant / coordonnateur</w:t>
      </w:r>
    </w:p>
    <w:p>
      <w:pPr>
        <w:pStyle w:val="ListNumber"/>
      </w:pPr>
      <w:r>
        <w:t>**Formation continue**</w:t>
      </w:r>
    </w:p>
    <w:p>
      <w:pPr>
        <w:pStyle w:val="ListBullet"/>
      </w:pPr>
      <w:r>
        <w:t>Formation obligatoire du personnel</w:t>
      </w:r>
    </w:p>
    <w:p>
      <w:pPr>
        <w:pStyle w:val="ListBullet"/>
      </w:pPr>
      <w:r>
        <w:t>Sensibilisation aux douleurs induites par les soins</w:t>
      </w:r>
    </w:p>
    <w:p>
      <w:pPr>
        <w:pStyle w:val="ListBullet"/>
      </w:pPr>
      <w:r>
        <w:t>Connaissance des outils d'évaluation</w:t>
      </w:r>
    </w:p>
    <w:p>
      <w:pPr>
        <w:pStyle w:val="ListBullet"/>
      </w:pPr>
      <w:r>
        <w:t>Culture du "soulager d'abord"</w:t>
      </w:r>
    </w:p>
    <w:p>
      <w:r>
        <w:t>____________________________________________________________</w:t>
      </w:r>
    </w:p>
    <w:p>
      <w:pPr>
        <w:pStyle w:val="Heading2"/>
      </w:pPr>
      <w:r>
        <w:rPr>
          <w:rFonts w:ascii="Arial" w:hAnsi="Arial"/>
          <w:color w:val="8B9D83"/>
          <w:sz w:val="28"/>
        </w:rPr>
        <w:t>3. ACTIONS PRIORITAIRES (6 semaines)</w:t>
      </w:r>
    </w:p>
    <w:p>
      <w:r>
        <w:rPr>
          <w:rFonts w:ascii="Arial" w:hAnsi="Arial"/>
        </w:rPr>
        <w:t>| Semaine | Priorité | Action | Responsable | Statut |</w:t>
      </w:r>
    </w:p>
    <w:p>
      <w:r>
        <w:rPr>
          <w:rFonts w:ascii="Arial" w:hAnsi="Arial"/>
        </w:rPr>
        <w:t>|---------|----------|--------|-------------|--------|</w:t>
      </w:r>
    </w:p>
    <w:p>
      <w:r>
        <w:rPr>
          <w:rFonts w:ascii="Arial" w:hAnsi="Arial"/>
        </w:rPr>
        <w:t>| S1 | 🔴 | Désigner référent douleur et constituer CLUD | Direction | À faire |</w:t>
      </w:r>
    </w:p>
    <w:p>
      <w:r>
        <w:rPr>
          <w:rFonts w:ascii="Arial" w:hAnsi="Arial"/>
        </w:rPr>
        <w:t>| S1 | 🔴 | Recenser outils d'évaluation douleur utilisés | IDEC | À faire |</w:t>
      </w:r>
    </w:p>
    <w:p>
      <w:r>
        <w:rPr>
          <w:rFonts w:ascii="Arial" w:hAnsi="Arial"/>
        </w:rPr>
        <w:t>| S2 | 🔴 | Former 100% équipe soignante aux échelles (Doloplus, ECPA, Algoplus) | Référent douleur | À faire |</w:t>
      </w:r>
    </w:p>
    <w:p>
      <w:r>
        <w:rPr>
          <w:rFonts w:ascii="Arial" w:hAnsi="Arial"/>
        </w:rPr>
        <w:t>| S2 | 🟠 | Protocole "Évaluation douleur systématique" | Médecin coordo | À faire |</w:t>
      </w:r>
    </w:p>
    <w:p>
      <w:r>
        <w:rPr>
          <w:rFonts w:ascii="Arial" w:hAnsi="Arial"/>
        </w:rPr>
        <w:t>| S3 | 🟠 | Créer registre des douleurs chroniques | Cadre de santé | À faire |</w:t>
      </w:r>
    </w:p>
    <w:p>
      <w:r>
        <w:rPr>
          <w:rFonts w:ascii="Arial" w:hAnsi="Arial"/>
        </w:rPr>
        <w:t>| S3 | 🟡 | Audit 20 dossiers : traçabilité évaluation douleur | Qualité | À faire |</w:t>
      </w:r>
    </w:p>
    <w:p>
      <w:r>
        <w:rPr>
          <w:rFonts w:ascii="Arial" w:hAnsi="Arial"/>
        </w:rPr>
        <w:t>| S4 | 🟡 | Mettre en place approches non médicamenteuses (massage, musicothérapie) | Psychomotricienne | À faire |</w:t>
      </w:r>
    </w:p>
    <w:p>
      <w:r>
        <w:rPr>
          <w:rFonts w:ascii="Arial" w:hAnsi="Arial"/>
        </w:rPr>
        <w:t>| S4 | 🟡 | Protocole réévaluation post-antalgique (H+1) | IDEC | À faire |</w:t>
      </w:r>
    </w:p>
    <w:p>
      <w:r>
        <w:rPr>
          <w:rFonts w:ascii="Arial" w:hAnsi="Arial"/>
        </w:rPr>
        <w:t>| S5 | 🟡 | Réunion CLUD : bilan et plan d'actions 2024-2025 | Référent douleur | À faire |</w:t>
      </w:r>
    </w:p>
    <w:p>
      <w:r>
        <w:rPr>
          <w:rFonts w:ascii="Arial" w:hAnsi="Arial"/>
        </w:rPr>
        <w:t>| S6 | 🟡 | Synthèse indicateurs douleur et amélioration continue | Direction | À faire |</w:t>
      </w:r>
    </w:p>
    <w:p>
      <w:r>
        <w:rPr>
          <w:rFonts w:ascii="Arial" w:hAnsi="Arial"/>
        </w:rPr>
        <w:t>**Légende priorités :** 🔴 Critique | 🟠 Important | 🟡 Recommandé</w:t>
      </w:r>
    </w:p>
    <w:p>
      <w:r>
        <w:t>____________________________________________________________</w:t>
      </w:r>
    </w:p>
    <w:p>
      <w:pPr>
        <w:pStyle w:val="Heading2"/>
      </w:pPr>
      <w:r>
        <w:rPr>
          <w:rFonts w:ascii="Arial" w:hAnsi="Arial"/>
          <w:color w:val="8B9D83"/>
          <w:sz w:val="28"/>
        </w:rPr>
        <w:t>4. PREUVES À PRÉPARER</w:t>
      </w:r>
    </w:p>
    <w:p>
      <w:pPr>
        <w:pStyle w:val="Heading3"/>
      </w:pPr>
      <w:r>
        <w:t>Documents à présenter :</w:t>
      </w:r>
    </w:p>
    <w:p>
      <w:r>
        <w:rPr>
          <w:rFonts w:ascii="Arial" w:hAnsi="Arial"/>
        </w:rPr>
        <w:t>**Politique et organisation :**</w:t>
      </w:r>
    </w:p>
    <w:p>
      <w:pPr>
        <w:pStyle w:val="ListBullet"/>
      </w:pPr>
      <w:r>
        <w:t>✅ Protocole institutionnel de prise en charge de la douleur</w:t>
      </w:r>
    </w:p>
    <w:p>
      <w:pPr>
        <w:pStyle w:val="ListBullet"/>
      </w:pPr>
      <w:r>
        <w:t>✅ Composition du CLUD</w:t>
      </w:r>
    </w:p>
    <w:p>
      <w:pPr>
        <w:pStyle w:val="ListBullet"/>
      </w:pPr>
      <w:r>
        <w:t>✅ Comptes-rendus réunions CLUD (minimum 2/an)</w:t>
      </w:r>
    </w:p>
    <w:p>
      <w:pPr>
        <w:pStyle w:val="ListBullet"/>
      </w:pPr>
      <w:r>
        <w:t>✅ Plan d'actions annuel douleur</w:t>
      </w:r>
    </w:p>
    <w:p>
      <w:r>
        <w:rPr>
          <w:rFonts w:ascii="Arial" w:hAnsi="Arial"/>
        </w:rPr>
        <w:t>**Procédures et protocoles :**</w:t>
      </w:r>
    </w:p>
    <w:p>
      <w:pPr>
        <w:pStyle w:val="ListBullet"/>
      </w:pPr>
      <w:r>
        <w:t>✅ Protocole d'évaluation de la douleur</w:t>
      </w:r>
    </w:p>
    <w:p>
      <w:pPr>
        <w:pStyle w:val="ListBullet"/>
      </w:pPr>
      <w:r>
        <w:t>✅ Protocole de réévaluation post-traitement</w:t>
      </w:r>
    </w:p>
    <w:p>
      <w:pPr>
        <w:pStyle w:val="ListBullet"/>
      </w:pPr>
      <w:r>
        <w:t>✅ Procédure "Douleur induite par les soins"</w:t>
      </w:r>
    </w:p>
    <w:p>
      <w:pPr>
        <w:pStyle w:val="ListBullet"/>
      </w:pPr>
      <w:r>
        <w:t>✅ Listing des outils d'évaluation (EVA, Doloplus, ECPA, Algoplus)</w:t>
      </w:r>
    </w:p>
    <w:p>
      <w:r>
        <w:rPr>
          <w:rFonts w:ascii="Arial" w:hAnsi="Arial"/>
        </w:rPr>
        <w:t>**Preuves de mise en œuvre :**</w:t>
      </w:r>
    </w:p>
    <w:p>
      <w:pPr>
        <w:pStyle w:val="ListBullet"/>
      </w:pPr>
      <w:r>
        <w:t>✅ Dossiers résidents avec traçabilité évaluation douleur</w:t>
      </w:r>
    </w:p>
    <w:p>
      <w:pPr>
        <w:pStyle w:val="ListBullet"/>
      </w:pPr>
      <w:r>
        <w:t>✅ Grilles d'évaluation remplies et datées</w:t>
      </w:r>
    </w:p>
    <w:p>
      <w:pPr>
        <w:pStyle w:val="ListBullet"/>
      </w:pPr>
      <w:r>
        <w:t>✅ Prescriptions antalgiques adaptées (pallier OMS)</w:t>
      </w:r>
    </w:p>
    <w:p>
      <w:pPr>
        <w:pStyle w:val="ListBullet"/>
      </w:pPr>
      <w:r>
        <w:t>✅ Traçabilité réévaluation après traitement</w:t>
      </w:r>
    </w:p>
    <w:p>
      <w:r>
        <w:rPr>
          <w:rFonts w:ascii="Arial" w:hAnsi="Arial"/>
        </w:rPr>
        <w:t>**Formation :**</w:t>
      </w:r>
    </w:p>
    <w:p>
      <w:pPr>
        <w:pStyle w:val="ListBullet"/>
      </w:pPr>
      <w:r>
        <w:t>✅ Registre des formations "Évaluation et traitement douleur"</w:t>
      </w:r>
    </w:p>
    <w:p>
      <w:pPr>
        <w:pStyle w:val="ListBullet"/>
      </w:pPr>
      <w:r>
        <w:t>✅ Feuilles d'émargement</w:t>
      </w:r>
    </w:p>
    <w:p>
      <w:pPr>
        <w:pStyle w:val="ListBullet"/>
      </w:pPr>
      <w:r>
        <w:t>✅ Support de formation</w:t>
      </w:r>
    </w:p>
    <w:p>
      <w:r>
        <w:rPr>
          <w:rFonts w:ascii="Arial" w:hAnsi="Arial"/>
        </w:rPr>
        <w:t>**Indicateurs :**</w:t>
      </w:r>
    </w:p>
    <w:p>
      <w:pPr>
        <w:pStyle w:val="ListBullet"/>
      </w:pPr>
      <w:r>
        <w:t>✅ Taux d'évaluation douleur à l'admission (objectif 100%)</w:t>
      </w:r>
    </w:p>
    <w:p>
      <w:pPr>
        <w:pStyle w:val="ListBullet"/>
      </w:pPr>
      <w:r>
        <w:t>✅ Nombre de résidents avec douleur chronique</w:t>
      </w:r>
    </w:p>
    <w:p>
      <w:pPr>
        <w:pStyle w:val="ListBullet"/>
      </w:pPr>
      <w:r>
        <w:t>✅ Taux de réévaluation post-antalgique</w:t>
      </w:r>
    </w:p>
    <w:p>
      <w:pPr>
        <w:pStyle w:val="ListBullet"/>
      </w:pPr>
      <w:r>
        <w:t>✅ Nombre d'actions CLUD réalisées / an</w:t>
      </w:r>
    </w:p>
    <w:p>
      <w:r>
        <w:t>____________________________________________________________</w:t>
      </w:r>
    </w:p>
    <w:p>
      <w:pPr>
        <w:pStyle w:val="Heading2"/>
      </w:pPr>
      <w:r>
        <w:rPr>
          <w:rFonts w:ascii="Arial" w:hAnsi="Arial"/>
          <w:color w:val="8B9D83"/>
          <w:sz w:val="28"/>
        </w:rPr>
        <w:t>5. POINTS VIGILANCE ENTRETIEN</w:t>
      </w:r>
    </w:p>
    <w:p>
      <w:pPr>
        <w:pStyle w:val="Heading3"/>
      </w:pPr>
      <w:r>
        <w:t>Questions probables des évaluateurs :</w:t>
      </w:r>
    </w:p>
    <w:p>
      <w:r>
        <w:rPr>
          <w:rFonts w:ascii="Arial" w:hAnsi="Arial"/>
        </w:rPr>
        <w:t>**Question 1 :** "Comment évaluez-vous la douleur chez un résident atteint de démence sévère ?"</w:t>
      </w:r>
    </w:p>
    <w:p>
      <w:r>
        <w:rPr>
          <w:rFonts w:ascii="Arial" w:hAnsi="Arial"/>
        </w:rPr>
        <w:t>**Question 2 :** "Pouvez-vous me montrer une traçabilité d'évaluation et de réévaluation de la douleur ?"</w:t>
      </w:r>
    </w:p>
    <w:p>
      <w:r>
        <w:rPr>
          <w:rFonts w:ascii="Arial" w:hAnsi="Arial"/>
        </w:rPr>
        <w:t>**Question 3 :** "Comment fonctionne votre CLUD ? Quelle est sa composition ?"</w:t>
      </w:r>
    </w:p>
    <w:p>
      <w:r>
        <w:rPr>
          <w:rFonts w:ascii="Arial" w:hAnsi="Arial"/>
        </w:rPr>
        <w:t>**Question 4 :** "Quelles approches non médicamenteuses proposez-vous ?"</w:t>
      </w:r>
    </w:p>
    <w:p>
      <w:r>
        <w:rPr>
          <w:rFonts w:ascii="Arial" w:hAnsi="Arial"/>
        </w:rPr>
        <w:t>**Question 5 :** "Comment gérez-vous les douleurs induites par les soins (toilette, mobilisation) ?"</w:t>
      </w:r>
    </w:p>
    <w:p>
      <w:pPr>
        <w:pStyle w:val="Heading3"/>
      </w:pPr>
      <w:r>
        <w:t>Pièges à éviter :</w:t>
      </w:r>
    </w:p>
    <w:p>
      <w:r>
        <w:rPr>
          <w:rFonts w:ascii="Arial" w:hAnsi="Arial"/>
        </w:rPr>
        <w:t>❌ Dire "Nos résidents ne se plaignent pas"</w:t>
      </w:r>
    </w:p>
    <w:p>
      <w:r>
        <w:rPr>
          <w:rFonts w:ascii="Arial" w:hAnsi="Arial"/>
        </w:rPr>
        <w:t>❌ Utiliser uniquement l'EVA chez des résidents non communicants</w:t>
      </w:r>
    </w:p>
    <w:p>
      <w:r>
        <w:rPr>
          <w:rFonts w:ascii="Arial" w:hAnsi="Arial"/>
        </w:rPr>
        <w:t>❌ Pas de réévaluation après administration d'antalgique</w:t>
      </w:r>
    </w:p>
    <w:p>
      <w:r>
        <w:rPr>
          <w:rFonts w:ascii="Arial" w:hAnsi="Arial"/>
        </w:rPr>
        <w:t>❌ Absence de traçabilité de la douleur dans le dossier</w:t>
      </w:r>
    </w:p>
    <w:p>
      <w:r>
        <w:rPr>
          <w:rFonts w:ascii="Arial" w:hAnsi="Arial"/>
        </w:rPr>
        <w:t>❌ CLUD inexistant ou inactif</w:t>
      </w:r>
    </w:p>
    <w:p>
      <w:r>
        <w:t>____________________________________________________________</w:t>
      </w:r>
    </w:p>
    <w:p>
      <w:pPr>
        <w:pStyle w:val="Heading2"/>
      </w:pPr>
      <w:r>
        <w:rPr>
          <w:rFonts w:ascii="Arial" w:hAnsi="Arial"/>
          <w:color w:val="8B9D83"/>
          <w:sz w:val="28"/>
        </w:rPr>
        <w:t>6. EXEMPLES RÉPONSES ÉVALUATEURS</w:t>
      </w:r>
    </w:p>
    <w:p>
      <w:pPr>
        <w:pStyle w:val="Heading3"/>
      </w:pPr>
      <w:r>
        <w:t>Réponse type 1 : Évaluation adaptée</w:t>
      </w:r>
    </w:p>
    <w:p>
      <w:r>
        <w:rPr>
          <w:rFonts w:ascii="Arial" w:hAnsi="Arial"/>
        </w:rPr>
        <w:t>&gt; "Nous utilisons différentes échelles selon les capacités de communication du résident. Pour les résidents communicants : EVA (Échelle Visuelle Analogique) ou EN (Échelle Numérique). Pour les résidents avec troubles cognitifs modérés : Algoplus (douleur aiguë). Pour les démences sévères : Doloplus-2 ou ECPA (Échelle Comportementale de la Douleur chez la Personne Âgée). 100% de l'équipe soignante est formée à ces outils."</w:t>
      </w:r>
    </w:p>
    <w:p>
      <w:pPr>
        <w:pStyle w:val="Heading3"/>
      </w:pPr>
      <w:r>
        <w:t>Réponse type 2 : CLUD actif</w:t>
      </w:r>
    </w:p>
    <w:p>
      <w:r>
        <w:rPr>
          <w:rFonts w:ascii="Arial" w:hAnsi="Arial"/>
        </w:rPr>
        <w:t>&gt; "Notre CLUD est composé du médecin coordonnateur (président), de l'IDEC (référente douleur), d'une IDE, d'une AS, du psychologue, du kinésithérapeute et de la direction. Nous nous réunions 3 fois par an. En 2024, nos actions ont porté sur : formation de 100% du personnel, audit de traçabilité (85% de conformité), mise en place de la musicothérapie, et révision des protocoles antalgiques."</w:t>
      </w:r>
    </w:p>
    <w:p>
      <w:pPr>
        <w:pStyle w:val="Heading3"/>
      </w:pPr>
      <w:r>
        <w:t>Réponse type 3 : Traçabilité et réévaluation</w:t>
      </w:r>
    </w:p>
    <w:p>
      <w:r>
        <w:rPr>
          <w:rFonts w:ascii="Arial" w:hAnsi="Arial"/>
        </w:rPr>
        <w:t>&gt; "La douleur est tracée comme le 5ème paramètre vital dans notre logiciel de soins. Lors de la transmission ciblée, l'IDE évalue avec l'outil adapté et trace le score. Après administration d'un antalgique, nous réévaluons systématiquement à H+1 pour les voies orales, H+30 pour les voies parentérales. Cette réévaluation est tracée dans le dossier avec ajustement si besoin en collaboration avec le médecin."</w:t>
      </w:r>
    </w:p>
    <w:p>
      <w:pPr>
        <w:pStyle w:val="Heading3"/>
      </w:pPr>
      <w:r>
        <w:t>Réponse type 4 : Approches non médicamenteuses</w:t>
      </w:r>
    </w:p>
    <w:p>
      <w:r>
        <w:rPr>
          <w:rFonts w:ascii="Arial" w:hAnsi="Arial"/>
        </w:rPr>
        <w:t>&gt; "Au-delà des traitements médicamenteux, nous proposons plusieurs approches : massage bien-être par les AS formées, musicothérapie 2x/semaine, relaxation guidée, positionnement adapté avec coussins ergonomiques, application de chaud/froid, aromathérapie. Ces actions sont tracées dans le dossier et évaluées en termes d'efficacité. Le kinésithérapeute sensibilise aussi l'équipe aux mobilisations douces."</w:t>
      </w:r>
    </w:p>
    <w:p>
      <w:pPr>
        <w:pStyle w:val="Heading3"/>
      </w:pPr>
      <w:r>
        <w:t>Réponse type 5 : Douleur induite par les soins</w:t>
      </w:r>
    </w:p>
    <w:p>
      <w:r>
        <w:rPr>
          <w:rFonts w:ascii="Arial" w:hAnsi="Arial"/>
        </w:rPr>
        <w:t>&gt; "Nous avons formalisé une procédure 'Prévention douleur induite'. Avant les soins potentiellement douloureux (toilette, mobilisation, pansements), nous : 1) Expliquons le geste, 2) Proposons une prémédication antalgique si prescrite, 3) Utilisons des techniques douces (effleurage, parole apaisante), 4) Observons le résident pendant le soin, 5) Réévaluons après. L'objectif est 'soulager d'abord, soigner ensuite'."</w:t>
      </w:r>
    </w:p>
    <w:p>
      <w:r>
        <w:t>____________________________________________________________</w:t>
      </w:r>
    </w:p>
    <w:p>
      <w:pPr>
        <w:pStyle w:val="Heading2"/>
      </w:pPr>
      <w:r>
        <w:rPr>
          <w:rFonts w:ascii="Arial" w:hAnsi="Arial"/>
          <w:color w:val="8B9D83"/>
          <w:sz w:val="28"/>
        </w:rPr>
        <w:t>7. POINTS CLÉS À RETENIR</w:t>
      </w:r>
    </w:p>
    <w:p>
      <w:pPr>
        <w:pStyle w:val="Heading3"/>
      </w:pPr>
      <w:r>
        <w:t>Les 5 essentiels du critère 3.3-1 :</w:t>
      </w:r>
    </w:p>
    <w:p>
      <w:pPr>
        <w:pStyle w:val="ListNumber"/>
      </w:pPr>
      <w:r>
        <w:t>**Évaluation systématique** : À l'admission, régulièrement et dès suspicion de douleur - avec outils validés adaptés</w:t>
      </w:r>
    </w:p>
    <w:p>
      <w:pPr>
        <w:pStyle w:val="ListNumber"/>
      </w:pPr>
      <w:r>
        <w:t>**CLUD actif** : Comité pluridisciplinaire avec réunions régulières + plan d'actions + référent identifié</w:t>
      </w:r>
    </w:p>
    <w:p>
      <w:pPr>
        <w:pStyle w:val="ListNumber"/>
      </w:pPr>
      <w:r>
        <w:t>**Traçabilité totale** : Douleur = 5ème paramètre vital - évaluation + traitement + réévaluation dans le dossier</w:t>
      </w:r>
    </w:p>
    <w:p>
      <w:pPr>
        <w:pStyle w:val="ListNumber"/>
      </w:pPr>
      <w:r>
        <w:t>**Approche multimodale** : Médicamenteux (palliers OMS) + non médicamenteux (massage, relaxation, musique)</w:t>
      </w:r>
    </w:p>
    <w:p>
      <w:pPr>
        <w:pStyle w:val="ListNumber"/>
      </w:pPr>
      <w:r>
        <w:t>**Formation continue** : 100% du personnel formé aux échelles d'évaluation et à la démarche "soulager d'abord"</w:t>
      </w:r>
    </w:p>
    <w:p>
      <w:pPr>
        <w:pStyle w:val="Heading3"/>
      </w:pPr>
      <w:r>
        <w:t>Message clé pour l'équipe :</w:t>
      </w:r>
    </w:p>
    <w:p>
      <w:r>
        <w:rPr>
          <w:rFonts w:ascii="Arial" w:hAnsi="Arial"/>
        </w:rPr>
        <w:t>&gt; "La douleur n'est jamais une fatalité du grand âge. Observer, évaluer avec des outils adaptés, soulager et réévaluer : c'est notre engagement pour le confort de chaque résident."</w:t>
      </w:r>
    </w:p>
    <w:p>
      <w:r>
        <w:t>____________________________________________________________</w:t>
      </w:r>
    </w:p>
    <w:p>
      <w:pPr>
        <w:pStyle w:val="Heading2"/>
      </w:pPr>
      <w:r>
        <w:rPr>
          <w:rFonts w:ascii="Arial" w:hAnsi="Arial"/>
          <w:color w:val="8B9D83"/>
          <w:sz w:val="28"/>
        </w:rPr>
        <w:t>8. RESSOURCES COMPLÉMENTAIRES</w:t>
      </w:r>
    </w:p>
    <w:p>
      <w:r>
        <w:rPr>
          <w:rFonts w:ascii="Arial" w:hAnsi="Arial"/>
        </w:rPr>
        <w:t>**Documents HAS :**</w:t>
      </w:r>
    </w:p>
    <w:p>
      <w:pPr>
        <w:pStyle w:val="ListBullet"/>
      </w:pPr>
      <w:r>
        <w:t>Évaluation et prise en charge de la douleur chez la personne âgée</w:t>
      </w:r>
    </w:p>
    <w:p>
      <w:pPr>
        <w:pStyle w:val="ListBullet"/>
      </w:pPr>
      <w:r>
        <w:t>Guide des outils d'évaluation de la douleur</w:t>
      </w:r>
    </w:p>
    <w:p>
      <w:r>
        <w:rPr>
          <w:rFonts w:ascii="Arial" w:hAnsi="Arial"/>
        </w:rPr>
        <w:t>**Outils d'évaluation :**</w:t>
      </w:r>
    </w:p>
    <w:p>
      <w:pPr>
        <w:pStyle w:val="ListBullet"/>
      </w:pPr>
      <w:r>
        <w:t>**EVA** : Échelle Visuelle Analogique (résident communicant)</w:t>
      </w:r>
    </w:p>
    <w:p>
      <w:pPr>
        <w:pStyle w:val="ListBullet"/>
      </w:pPr>
      <w:r>
        <w:t>**EN** : Échelle Numérique 0-10 (résident communicant)</w:t>
      </w:r>
    </w:p>
    <w:p>
      <w:pPr>
        <w:pStyle w:val="ListBullet"/>
      </w:pPr>
      <w:r>
        <w:t>**Doloplus-2** : Échelle comportementale (douleur chronique, troubles cognitifs)</w:t>
      </w:r>
    </w:p>
    <w:p>
      <w:pPr>
        <w:pStyle w:val="ListBullet"/>
      </w:pPr>
      <w:r>
        <w:t>**ECPA** : Échelle Comportementale de la douleur (démence sévère)</w:t>
      </w:r>
    </w:p>
    <w:p>
      <w:pPr>
        <w:pStyle w:val="ListBullet"/>
      </w:pPr>
      <w:r>
        <w:t>**Algoplus** : Échelle comportementale (douleur aiguë)</w:t>
      </w:r>
    </w:p>
    <w:p>
      <w:r>
        <w:rPr>
          <w:rFonts w:ascii="Arial" w:hAnsi="Arial"/>
        </w:rPr>
        <w:t>**Outils internes Belle Viste :**</w:t>
      </w:r>
    </w:p>
    <w:p>
      <w:pPr>
        <w:pStyle w:val="ListBullet"/>
      </w:pPr>
      <w:r>
        <w:t>Protocole PROT-DOUL-001 "Évaluation de la douleur"</w:t>
      </w:r>
    </w:p>
    <w:p>
      <w:pPr>
        <w:pStyle w:val="ListBullet"/>
      </w:pPr>
      <w:r>
        <w:t>Procédure PROC-DOUL-002 "Réévaluation post-traitement"</w:t>
      </w:r>
    </w:p>
    <w:p>
      <w:pPr>
        <w:pStyle w:val="ListBullet"/>
      </w:pPr>
      <w:r>
        <w:t>Procédure PROC-DOUL-003 "Douleur induite par les soins"</w:t>
      </w:r>
    </w:p>
    <w:p>
      <w:pPr>
        <w:pStyle w:val="ListBullet"/>
      </w:pPr>
      <w:r>
        <w:t>Registre des douleurs chroniques REG-DOUL-001</w:t>
      </w:r>
    </w:p>
    <w:p>
      <w:r>
        <w:rPr>
          <w:rFonts w:ascii="Arial" w:hAnsi="Arial"/>
        </w:rPr>
        <w:t>**Palliers OMS :**</w:t>
      </w:r>
    </w:p>
    <w:p>
      <w:pPr>
        <w:pStyle w:val="ListBullet"/>
      </w:pPr>
      <w:r>
        <w:t>Pallier 1 : Paracétamol, AINS</w:t>
      </w:r>
    </w:p>
    <w:p>
      <w:pPr>
        <w:pStyle w:val="ListBullet"/>
      </w:pPr>
      <w:r>
        <w:t>Pallier 2 : Opioïdes faibles (tramadol, codéine)</w:t>
      </w:r>
    </w:p>
    <w:p>
      <w:pPr>
        <w:pStyle w:val="ListBullet"/>
      </w:pPr>
      <w:r>
        <w:t>Pallier 3 : Opioïdes forts (morphine, oxycodone, fentanyl)</w:t>
      </w:r>
    </w:p>
    <w:p>
      <w:r>
        <w:rPr>
          <w:rFonts w:ascii="Arial" w:hAnsi="Arial"/>
        </w:rPr>
        <w:t>**Contact :**</w:t>
      </w:r>
    </w:p>
    <w:p>
      <w:pPr>
        <w:pStyle w:val="ListBullet"/>
      </w:pPr>
      <w:r>
        <w:t>Référent douleur : [NOM]</w:t>
      </w:r>
    </w:p>
    <w:p>
      <w:pPr>
        <w:pStyle w:val="ListBullet"/>
      </w:pPr>
      <w:r>
        <w:t>Médecin coordonnateur : Dr [NOM]</w:t>
      </w:r>
    </w:p>
    <w:p>
      <w:pPr>
        <w:pStyle w:val="ListBullet"/>
      </w:pPr>
      <w:r>
        <w:t>IDEC : [NOM]</w:t>
      </w:r>
    </w:p>
    <w:p>
      <w:r>
        <w:t>____________________________________________________________</w:t>
      </w:r>
    </w:p>
    <w:p>
      <w:r>
        <w:rPr>
          <w:rFonts w:ascii="Arial" w:hAnsi="Arial"/>
        </w:rPr>
        <w:t>*Document préparé pour la certification HAS novembre 2024 - EHPAD Belle Viste*</w:t>
      </w:r>
    </w:p>
    <w:p>
      <w:r>
        <w:rPr>
          <w:rFonts w:ascii="Arial" w:hAnsi="Arial"/>
        </w:rPr>
        <w:t>*Version 1.0 - Octobre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