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3.8-1 : Mesures de restriction de liberté (isolement et contention)</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3.8-1 : Les mesures de restriction de liberté (isolement et contention)</w:t>
      </w:r>
    </w:p>
    <w:p>
      <w:r>
        <w:rPr>
          <w:rFonts w:ascii="Arial" w:hAnsi="Arial"/>
        </w:rPr>
        <w:t>**Définition :**</w:t>
      </w:r>
    </w:p>
    <w:p>
      <w:r>
        <w:rPr>
          <w:rFonts w:ascii="Arial" w:hAnsi="Arial"/>
        </w:rPr>
        <w:t>L'établissement limite au maximum le recours aux mesures de restriction de liberté (isolement, contention physique ou médicamenteuse). Lorsqu'elles sont indispensables, elles sont justifiées, tracées, limitées dans le temps et réévaluées régulièrement.</w:t>
      </w:r>
    </w:p>
    <w:p>
      <w:r>
        <w:rPr>
          <w:rFonts w:ascii="Arial" w:hAnsi="Arial"/>
        </w:rPr>
        <w:t>**Éléments d'appréciation :**</w:t>
      </w:r>
    </w:p>
    <w:p>
      <w:pPr>
        <w:pStyle w:val="ListBullet"/>
      </w:pPr>
      <w:r>
        <w:t>Politique institutionnelle de prévention et réduction des mesures de restriction</w:t>
      </w:r>
    </w:p>
    <w:p>
      <w:pPr>
        <w:pStyle w:val="ListBullet"/>
      </w:pPr>
      <w:r>
        <w:t>Alternatives aux restrictions de liberté privilégiées</w:t>
      </w:r>
    </w:p>
    <w:p>
      <w:pPr>
        <w:pStyle w:val="ListBullet"/>
      </w:pPr>
      <w:r>
        <w:t>Prescription médicale obligatoire avec justification</w:t>
      </w:r>
    </w:p>
    <w:p>
      <w:pPr>
        <w:pStyle w:val="ListBullet"/>
      </w:pPr>
      <w:r>
        <w:t>Information du résident et/ou de ses proches</w:t>
      </w:r>
    </w:p>
    <w:p>
      <w:pPr>
        <w:pStyle w:val="ListBullet"/>
      </w:pPr>
      <w:r>
        <w:t>Traçabilité : nature, durée, réévaluation</w:t>
      </w:r>
    </w:p>
    <w:p>
      <w:pPr>
        <w:pStyle w:val="ListBullet"/>
      </w:pPr>
      <w:r>
        <w:t>Formation des professionnels</w:t>
      </w:r>
    </w:p>
    <w:p>
      <w:pPr>
        <w:pStyle w:val="ListBullet"/>
      </w:pPr>
      <w:r>
        <w:t>Surveillance renforcée en cas de contention</w:t>
      </w:r>
    </w:p>
    <w:p>
      <w:pPr>
        <w:pStyle w:val="ListBullet"/>
      </w:pPr>
      <w:r>
        <w:t>Analyse régulière des pratiques</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**Politique de prévention et d'alternatives**</w:t>
      </w:r>
    </w:p>
    <w:p>
      <w:pPr>
        <w:pStyle w:val="ListBullet"/>
      </w:pPr>
      <w:r>
        <w:t>Protocole institutionnel formalisé</w:t>
      </w:r>
    </w:p>
    <w:p>
      <w:pPr>
        <w:pStyle w:val="ListBullet"/>
      </w:pPr>
      <w:r>
        <w:t>Alternatives privilégiées : accompagnement, aménagement environnement, thérapies non médicamenteuses</w:t>
      </w:r>
    </w:p>
    <w:p>
      <w:pPr>
        <w:pStyle w:val="ListBullet"/>
      </w:pPr>
      <w:r>
        <w:t>Formation du personnel aux alternatives</w:t>
      </w:r>
    </w:p>
    <w:p>
      <w:pPr>
        <w:pStyle w:val="ListBullet"/>
      </w:pPr>
      <w:r>
        <w:t>Objectif de réduction progressive</w:t>
      </w:r>
    </w:p>
    <w:p>
      <w:pPr>
        <w:pStyle w:val="ListNumber"/>
      </w:pPr>
      <w:r>
        <w:t>**Cadre strict si mesure nécessaire**</w:t>
      </w:r>
    </w:p>
    <w:p>
      <w:pPr>
        <w:pStyle w:val="ListBullet"/>
      </w:pPr>
      <w:r>
        <w:t>Prescription médicale écrite obligatoire</w:t>
      </w:r>
    </w:p>
    <w:p>
      <w:pPr>
        <w:pStyle w:val="ListBullet"/>
      </w:pPr>
      <w:r>
        <w:t>Justification précise (risque de chute, errance dangereuse, agitation)</w:t>
      </w:r>
    </w:p>
    <w:p>
      <w:pPr>
        <w:pStyle w:val="ListBullet"/>
      </w:pPr>
      <w:r>
        <w:t>Durée limitée et réévaluation programmée</w:t>
      </w:r>
    </w:p>
    <w:p>
      <w:pPr>
        <w:pStyle w:val="ListBullet"/>
      </w:pPr>
      <w:r>
        <w:t>Information résident et/ou famille avec consentement recherché</w:t>
      </w:r>
    </w:p>
    <w:p>
      <w:pPr>
        <w:pStyle w:val="ListBullet"/>
      </w:pPr>
      <w:r>
        <w:t>Décision collégiale si possible</w:t>
      </w:r>
    </w:p>
    <w:p>
      <w:pPr>
        <w:pStyle w:val="ListNumber"/>
      </w:pPr>
      <w:r>
        <w:t>**Types de contention**</w:t>
      </w:r>
    </w:p>
    <w:p>
      <w:pPr>
        <w:pStyle w:val="ListBullet"/>
      </w:pPr>
      <w:r>
        <w:t>**Physique** : barrières de lit, ceinture de fauteuil, table bloquante</w:t>
      </w:r>
    </w:p>
    <w:p>
      <w:pPr>
        <w:pStyle w:val="ListBullet"/>
      </w:pPr>
      <w:r>
        <w:t>**Médicamenteuse** : neuroleptiques, anxiolytiques en dehors de l'AMM</w:t>
      </w:r>
    </w:p>
    <w:p>
      <w:pPr>
        <w:pStyle w:val="ListBullet"/>
      </w:pPr>
      <w:r>
        <w:t>**Architecturale** : porte fermée, système anti-fugue</w:t>
      </w:r>
    </w:p>
    <w:p>
      <w:pPr>
        <w:pStyle w:val="ListBullet"/>
      </w:pPr>
      <w:r>
        <w:t>Toute mesure restrictive doit être justifiée et tracée</w:t>
      </w:r>
    </w:p>
    <w:p>
      <w:pPr>
        <w:pStyle w:val="ListNumber"/>
      </w:pPr>
      <w:r>
        <w:t>**Surveillance et réévaluation**</w:t>
      </w:r>
    </w:p>
    <w:p>
      <w:pPr>
        <w:pStyle w:val="ListBullet"/>
      </w:pPr>
      <w:r>
        <w:t>Surveillance renforcée (constantes, état cutané, confort)</w:t>
      </w:r>
    </w:p>
    <w:p>
      <w:pPr>
        <w:pStyle w:val="ListBullet"/>
      </w:pPr>
      <w:r>
        <w:t>Réévaluation quotidienne par IDE</w:t>
      </w:r>
    </w:p>
    <w:p>
      <w:pPr>
        <w:pStyle w:val="ListBullet"/>
      </w:pPr>
      <w:r>
        <w:t>Réévaluation médicale régulière (hebdomadaire minimum)</w:t>
      </w:r>
    </w:p>
    <w:p>
      <w:pPr>
        <w:pStyle w:val="ListBullet"/>
      </w:pPr>
      <w:r>
        <w:t>Levée dès que possible</w:t>
      </w:r>
    </w:p>
    <w:p>
      <w:pPr>
        <w:pStyle w:val="ListNumber"/>
      </w:pPr>
      <w:r>
        <w:t>**Traçabilité obligatoire**</w:t>
      </w:r>
    </w:p>
    <w:p>
      <w:pPr>
        <w:pStyle w:val="ListBullet"/>
      </w:pPr>
      <w:r>
        <w:t>Prescription dans le dossier</w:t>
      </w:r>
    </w:p>
    <w:p>
      <w:pPr>
        <w:pStyle w:val="ListBullet"/>
      </w:pPr>
      <w:r>
        <w:t>Date et heure de mise en place</w:t>
      </w:r>
    </w:p>
    <w:p>
      <w:pPr>
        <w:pStyle w:val="ListBullet"/>
      </w:pPr>
      <w:r>
        <w:t>Justification</w:t>
      </w:r>
    </w:p>
    <w:p>
      <w:pPr>
        <w:pStyle w:val="ListBullet"/>
      </w:pPr>
      <w:r>
        <w:t>Surveillances</w:t>
      </w:r>
    </w:p>
    <w:p>
      <w:pPr>
        <w:pStyle w:val="ListBullet"/>
      </w:pPr>
      <w:r>
        <w:t>Réévaluations</w:t>
      </w:r>
    </w:p>
    <w:p>
      <w:pPr>
        <w:pStyle w:val="ListBullet"/>
      </w:pPr>
      <w:r>
        <w:t>Date de levée</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Recenser toutes les mesures de contention actuelles (70 résidents) | IDEC | À faire |</w:t>
      </w:r>
    </w:p>
    <w:p>
      <w:r>
        <w:rPr>
          <w:rFonts w:ascii="Arial" w:hAnsi="Arial"/>
        </w:rPr>
        <w:t>| S1 | 🔴 | Vérifier présence prescription médicale pour chaque contention | Cadre de santé | À faire |</w:t>
      </w:r>
    </w:p>
    <w:p>
      <w:r>
        <w:rPr>
          <w:rFonts w:ascii="Arial" w:hAnsi="Arial"/>
        </w:rPr>
        <w:t>| S2 | 🔴 | Protocole "Prévention et gestion des mesures de restriction" | Médecin coordo | À faire |</w:t>
      </w:r>
    </w:p>
    <w:p>
      <w:r>
        <w:rPr>
          <w:rFonts w:ascii="Arial" w:hAnsi="Arial"/>
        </w:rPr>
        <w:t>| S2 | 🟠 | Former 100% équipe aux alternatives à la contention | Psychomotricienne | À faire |</w:t>
      </w:r>
    </w:p>
    <w:p>
      <w:r>
        <w:rPr>
          <w:rFonts w:ascii="Arial" w:hAnsi="Arial"/>
        </w:rPr>
        <w:t>| S3 | 🟠 | Créer registre des contentions (nature, durée, rééval) | IDEC | À faire |</w:t>
      </w:r>
    </w:p>
    <w:p>
      <w:r>
        <w:rPr>
          <w:rFonts w:ascii="Arial" w:hAnsi="Arial"/>
        </w:rPr>
        <w:t>| S3 | 🟡 | Réunion pluridisciplinaire : analyse cas par cas et alternatives | Direction | À faire |</w:t>
      </w:r>
    </w:p>
    <w:p>
      <w:r>
        <w:rPr>
          <w:rFonts w:ascii="Arial" w:hAnsi="Arial"/>
        </w:rPr>
        <w:t>| S4 | 🟡 | Mettre en place alternatives : lit bas, détecteur de chute, accompagnement | Équipe | À faire |</w:t>
      </w:r>
    </w:p>
    <w:p>
      <w:r>
        <w:rPr>
          <w:rFonts w:ascii="Arial" w:hAnsi="Arial"/>
        </w:rPr>
        <w:t>| S4 | 🟡 | Fiche de surveillance contention (réévaluation quotidienne) | IDEC | À faire |</w:t>
      </w:r>
    </w:p>
    <w:p>
      <w:r>
        <w:rPr>
          <w:rFonts w:ascii="Arial" w:hAnsi="Arial"/>
        </w:rPr>
        <w:t>| S5 | 🟡 | Informer familles et recueillir consentement éclairé | Cadre + Médecin | À faire |</w:t>
      </w:r>
    </w:p>
    <w:p>
      <w:r>
        <w:rPr>
          <w:rFonts w:ascii="Arial" w:hAnsi="Arial"/>
        </w:rPr>
        <w:t>| S6 | 🟡 | Bilan : nombre de contentions avant/après, plan de réduction 2025 | Direction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**Politique institutionnelle :**</w:t>
      </w:r>
    </w:p>
    <w:p>
      <w:pPr>
        <w:pStyle w:val="ListBullet"/>
      </w:pPr>
      <w:r>
        <w:t>✅ Protocole "Prévention et gestion des mesures de restriction de liberté"</w:t>
      </w:r>
    </w:p>
    <w:p>
      <w:pPr>
        <w:pStyle w:val="ListBullet"/>
      </w:pPr>
      <w:r>
        <w:t>✅ Listing des alternatives à la contention</w:t>
      </w:r>
    </w:p>
    <w:p>
      <w:pPr>
        <w:pStyle w:val="ListBullet"/>
      </w:pPr>
      <w:r>
        <w:t>✅ Charte des droits et libertés de la personne accueillie</w:t>
      </w:r>
    </w:p>
    <w:p>
      <w:pPr>
        <w:pStyle w:val="ListBullet"/>
      </w:pPr>
      <w:r>
        <w:t>✅ Plan de réduction des contentions</w:t>
      </w:r>
    </w:p>
    <w:p>
      <w:r>
        <w:rPr>
          <w:rFonts w:ascii="Arial" w:hAnsi="Arial"/>
        </w:rPr>
        <w:t>**Procédures :**</w:t>
      </w:r>
    </w:p>
    <w:p>
      <w:pPr>
        <w:pStyle w:val="ListBullet"/>
      </w:pPr>
      <w:r>
        <w:t>✅ Procédure de mise en place d'une contention physique</w:t>
      </w:r>
    </w:p>
    <w:p>
      <w:pPr>
        <w:pStyle w:val="ListBullet"/>
      </w:pPr>
      <w:r>
        <w:t>✅ Procédure de surveillance d'une contention</w:t>
      </w:r>
    </w:p>
    <w:p>
      <w:pPr>
        <w:pStyle w:val="ListBullet"/>
      </w:pPr>
      <w:r>
        <w:t>✅ Fiche de traçabilité contention</w:t>
      </w:r>
    </w:p>
    <w:p>
      <w:pPr>
        <w:pStyle w:val="ListBullet"/>
      </w:pPr>
      <w:r>
        <w:t>✅ Procédure information résident/famille</w:t>
      </w:r>
    </w:p>
    <w:p>
      <w:r>
        <w:rPr>
          <w:rFonts w:ascii="Arial" w:hAnsi="Arial"/>
        </w:rPr>
        <w:t>**Preuves de mise en œuvre :**</w:t>
      </w:r>
    </w:p>
    <w:p>
      <w:pPr>
        <w:pStyle w:val="ListBullet"/>
      </w:pPr>
      <w:r>
        <w:t>✅ Dossiers résidents : prescriptions médicales de contention</w:t>
      </w:r>
    </w:p>
    <w:p>
      <w:pPr>
        <w:pStyle w:val="ListBullet"/>
      </w:pPr>
      <w:r>
        <w:t>✅ Traçabilité : date, heure, nature, justification, surveillance, réévaluation</w:t>
      </w:r>
    </w:p>
    <w:p>
      <w:pPr>
        <w:pStyle w:val="ListBullet"/>
      </w:pPr>
      <w:r>
        <w:t>✅ Formulaires de consentement éclairé signés</w:t>
      </w:r>
    </w:p>
    <w:p>
      <w:pPr>
        <w:pStyle w:val="ListBullet"/>
      </w:pPr>
      <w:r>
        <w:t>✅ Fiches de surveillance contention</w:t>
      </w:r>
    </w:p>
    <w:p>
      <w:r>
        <w:rPr>
          <w:rFonts w:ascii="Arial" w:hAnsi="Arial"/>
        </w:rPr>
        <w:t>**Formation :**</w:t>
      </w:r>
    </w:p>
    <w:p>
      <w:pPr>
        <w:pStyle w:val="ListBullet"/>
      </w:pPr>
      <w:r>
        <w:t>✅ Registre des formations "Alternatives à la contention"</w:t>
      </w:r>
    </w:p>
    <w:p>
      <w:pPr>
        <w:pStyle w:val="ListBullet"/>
      </w:pPr>
      <w:r>
        <w:t>✅ Support de formation</w:t>
      </w:r>
    </w:p>
    <w:p>
      <w:pPr>
        <w:pStyle w:val="ListBullet"/>
      </w:pPr>
      <w:r>
        <w:t>✅ Feuilles d'émargement</w:t>
      </w:r>
    </w:p>
    <w:p>
      <w:r>
        <w:rPr>
          <w:rFonts w:ascii="Arial" w:hAnsi="Arial"/>
        </w:rPr>
        <w:t>**Analyse des pratiques :**</w:t>
      </w:r>
    </w:p>
    <w:p>
      <w:pPr>
        <w:pStyle w:val="ListBullet"/>
      </w:pPr>
      <w:r>
        <w:t>✅ Registre des contentions (tableau de bord)</w:t>
      </w:r>
    </w:p>
    <w:p>
      <w:pPr>
        <w:pStyle w:val="ListBullet"/>
      </w:pPr>
      <w:r>
        <w:t>✅ Réunions d'analyse pluridisciplinaire</w:t>
      </w:r>
    </w:p>
    <w:p>
      <w:pPr>
        <w:pStyle w:val="ListBullet"/>
      </w:pPr>
      <w:r>
        <w:t>✅ Indicateurs de suivi</w:t>
      </w:r>
    </w:p>
    <w:p>
      <w:r>
        <w:rPr>
          <w:rFonts w:ascii="Arial" w:hAnsi="Arial"/>
        </w:rPr>
        <w:t>**Indicateurs :**</w:t>
      </w:r>
    </w:p>
    <w:p>
      <w:pPr>
        <w:pStyle w:val="ListBullet"/>
      </w:pPr>
      <w:r>
        <w:t>✅ Nombre de résidents sous contention physique</w:t>
      </w:r>
    </w:p>
    <w:p>
      <w:pPr>
        <w:pStyle w:val="ListBullet"/>
      </w:pPr>
      <w:r>
        <w:t>✅ Nombre de résidents sous contention médicamenteuse</w:t>
      </w:r>
    </w:p>
    <w:p>
      <w:pPr>
        <w:pStyle w:val="ListBullet"/>
      </w:pPr>
      <w:r>
        <w:t>✅ Durée moyenne de contention</w:t>
      </w:r>
    </w:p>
    <w:p>
      <w:pPr>
        <w:pStyle w:val="ListBullet"/>
      </w:pPr>
      <w:r>
        <w:t>✅ Évolution sur 12 mois (objectif : réduction)</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"Combien de résidents sont actuellement sous contention physique ?"</w:t>
      </w:r>
    </w:p>
    <w:p>
      <w:r>
        <w:rPr>
          <w:rFonts w:ascii="Arial" w:hAnsi="Arial"/>
        </w:rPr>
        <w:t>**Question 2 :** "Quelles alternatives mettez-vous en place avant de recourir à une contention ?"</w:t>
      </w:r>
    </w:p>
    <w:p>
      <w:r>
        <w:rPr>
          <w:rFonts w:ascii="Arial" w:hAnsi="Arial"/>
        </w:rPr>
        <w:t>**Question 3 :** "Comment tracez-vous les mesures de contention ?"</w:t>
      </w:r>
    </w:p>
    <w:p>
      <w:r>
        <w:rPr>
          <w:rFonts w:ascii="Arial" w:hAnsi="Arial"/>
        </w:rPr>
        <w:t>**Question 4 :** "Comment informez-vous les familles et recueillez-vous leur consentement ?"</w:t>
      </w:r>
    </w:p>
    <w:p>
      <w:r>
        <w:rPr>
          <w:rFonts w:ascii="Arial" w:hAnsi="Arial"/>
        </w:rPr>
        <w:t>**Question 5 :** "Pouvez-vous me montrer une prescription médicale de contention avec sa justification ?"</w:t>
      </w:r>
    </w:p>
    <w:p>
      <w:pPr>
        <w:pStyle w:val="Heading3"/>
      </w:pPr>
      <w:r>
        <w:t>Pièges à éviter :</w:t>
      </w:r>
    </w:p>
    <w:p>
      <w:r>
        <w:rPr>
          <w:rFonts w:ascii="Arial" w:hAnsi="Arial"/>
        </w:rPr>
        <w:t>❌ Contentions sans prescription médicale</w:t>
      </w:r>
    </w:p>
    <w:p>
      <w:r>
        <w:rPr>
          <w:rFonts w:ascii="Arial" w:hAnsi="Arial"/>
        </w:rPr>
        <w:t>❌ Dire "C'est pour leur sécurité" sans avoir cherché d'alternative</w:t>
      </w:r>
    </w:p>
    <w:p>
      <w:r>
        <w:rPr>
          <w:rFonts w:ascii="Arial" w:hAnsi="Arial"/>
        </w:rPr>
        <w:t>❌ Contentions permanentes sans réévaluation</w:t>
      </w:r>
    </w:p>
    <w:p>
      <w:r>
        <w:rPr>
          <w:rFonts w:ascii="Arial" w:hAnsi="Arial"/>
        </w:rPr>
        <w:t>❌ Absence de traçabilité dans le dossier</w:t>
      </w:r>
    </w:p>
    <w:p>
      <w:r>
        <w:rPr>
          <w:rFonts w:ascii="Arial" w:hAnsi="Arial"/>
        </w:rPr>
        <w:t>❌ Famille non informée</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État des lieux et évolution</w:t>
      </w:r>
    </w:p>
    <w:p>
      <w:r>
        <w:rPr>
          <w:rFonts w:ascii="Arial" w:hAnsi="Arial"/>
        </w:rPr>
        <w:t>&gt; "Actuellement, 12 résidents sur 70 sont sous contention physique (barrières de lit pour 8, ceinture pelvienne pour 4). Il y a un an, nous en avions 18. Notre objectif institutionnel est de réduire progressivement ces mesures en privilégiant les alternatives. Chaque situation fait l'objet d'une analyse pluridisciplinaire tous les 3 mois pour réévaluer la nécessité et rechercher des alternatives."</w:t>
      </w:r>
    </w:p>
    <w:p>
      <w:pPr>
        <w:pStyle w:val="Heading3"/>
      </w:pPr>
      <w:r>
        <w:t>Réponse type 2 : Alternatives à la contention</w:t>
      </w:r>
    </w:p>
    <w:p>
      <w:r>
        <w:rPr>
          <w:rFonts w:ascii="Arial" w:hAnsi="Arial"/>
        </w:rPr>
        <w:t>&gt; "Avant tout recours à une contention, nous mettons systématiquement en place des alternatives : lit médicalisé en position basse avec tapis de sol, détecteur de chute (système Vigil), accompagnement personnalisé des résidents désorientés, aménagement de l'environnement (couloir de déambulation sécurisé), thérapies non médicamenteuses (musicothérapie, relaxation), adaptation du rythme de vie. Ces mesures ont permis de lever 6 contentions en 2024."</w:t>
      </w:r>
    </w:p>
    <w:p>
      <w:pPr>
        <w:pStyle w:val="Heading3"/>
      </w:pPr>
      <w:r>
        <w:t>Réponse type 3 : Traçabilité complète</w:t>
      </w:r>
    </w:p>
    <w:p>
      <w:r>
        <w:rPr>
          <w:rFonts w:ascii="Arial" w:hAnsi="Arial"/>
        </w:rPr>
        <w:t>&gt; "Toute contention nécessite une prescription médicale écrite dans le dossier informatisé, avec : nature de la contention, justification précise (risque de chute avec antécédent de fracture par exemple), durée, modalités de surveillance. L'IDE trace quotidiennement : heure de mise en place, heure de levée, surveillance cutanée, confort du résident, constantes. Le médecin réévalue hebdomadairement. Une fiche de synthèse mensuelle est éditée."</w:t>
      </w:r>
    </w:p>
    <w:p>
      <w:pPr>
        <w:pStyle w:val="Heading3"/>
      </w:pPr>
      <w:r>
        <w:t>Réponse type 4 : Information et consentement</w:t>
      </w:r>
    </w:p>
    <w:p>
      <w:r>
        <w:rPr>
          <w:rFonts w:ascii="Arial" w:hAnsi="Arial"/>
        </w:rPr>
        <w:t>&gt; "Dès qu'une contention est envisagée, nous organisons un entretien avec le résident (si possible) et sa famille. Le médecin coordonnateur ou le médecin traitant explique : pourquoi cette mesure est nécessaire (risque), quelles alternatives ont été tentées, quelle est la nature de la contention, quelle surveillance sera mise en place, et que la réévaluation est régulière. Nous recherchons le consentement éclairé, signé et tracé dans le dossier. La famille peut refuser, c'est son droit."</w:t>
      </w:r>
    </w:p>
    <w:p>
      <w:pPr>
        <w:pStyle w:val="Heading3"/>
      </w:pPr>
      <w:r>
        <w:t>Réponse type 5 : Surveillance renforcée</w:t>
      </w:r>
    </w:p>
    <w:p>
      <w:r>
        <w:rPr>
          <w:rFonts w:ascii="Arial" w:hAnsi="Arial"/>
        </w:rPr>
        <w:t>&gt; "Pour tout résident sous contention, nous appliquons un protocole de surveillance renforcée. L'IDE passe toutes les 2 heures minimum pour vérifier : état cutané (risque d'escarre, de compression), confort (repositionnement), constantes vitales, état psychologique (anxiété). La contention est retirée plusieurs fois par jour pour mobilisation et soins d'hygiène. Nous utilisons une fiche de surveillance dédiée. En cas d'altération de l'état, la contention est levée immédiatement."</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3.8-1 :</w:t>
      </w:r>
    </w:p>
    <w:p>
      <w:pPr>
        <w:pStyle w:val="ListNumber"/>
      </w:pPr>
      <w:r>
        <w:t>**Prévention et alternatives** : Privilégier TOUJOURS les alternatives (lit bas, détecteur, accompagnement, environnement adapté)</w:t>
      </w:r>
    </w:p>
    <w:p>
      <w:pPr>
        <w:pStyle w:val="ListNumber"/>
      </w:pPr>
      <w:r>
        <w:t>**Prescription médicale obligatoire** : Écrite, justifiée, datée, avec durée et modalités de surveillance</w:t>
      </w:r>
    </w:p>
    <w:p>
      <w:pPr>
        <w:pStyle w:val="ListNumber"/>
      </w:pPr>
      <w:r>
        <w:t>**Information et consentement** : Résident et famille informés + consentement éclairé recherché et tracé</w:t>
      </w:r>
    </w:p>
    <w:p>
      <w:pPr>
        <w:pStyle w:val="ListNumber"/>
      </w:pPr>
      <w:r>
        <w:t>**Traçabilité complète** : Nature, date/heure, justification, surveillance, réévaluation, levée - TOUT dans le dossier</w:t>
      </w:r>
    </w:p>
    <w:p>
      <w:pPr>
        <w:pStyle w:val="ListNumber"/>
      </w:pPr>
      <w:r>
        <w:t>**Réévaluation régulière** : Quotidienne par IDE + hebdomadaire par médecin + levée dès que possible</w:t>
      </w:r>
    </w:p>
    <w:p>
      <w:pPr>
        <w:pStyle w:val="Heading3"/>
      </w:pPr>
      <w:r>
        <w:t>Message clé pour l'équipe :</w:t>
      </w:r>
    </w:p>
    <w:p>
      <w:r>
        <w:rPr>
          <w:rFonts w:ascii="Arial" w:hAnsi="Arial"/>
        </w:rPr>
        <w:t>&gt; "Toute contention est une restriction de liberté. Notre responsabilité est d'explorer TOUTES les alternatives avant d'y recourir, et de lever la mesure dès que possible."</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**Documents HAS :**</w:t>
      </w:r>
    </w:p>
    <w:p>
      <w:pPr>
        <w:pStyle w:val="ListBullet"/>
      </w:pPr>
      <w:r>
        <w:t>Recommandations de bonnes pratiques : Contention physique de la personne âgée</w:t>
      </w:r>
    </w:p>
    <w:p>
      <w:pPr>
        <w:pStyle w:val="ListBullet"/>
      </w:pPr>
      <w:r>
        <w:t>Forap : Outil d'analyse des pratiques de contention</w:t>
      </w:r>
    </w:p>
    <w:p>
      <w:r>
        <w:rPr>
          <w:rFonts w:ascii="Arial" w:hAnsi="Arial"/>
        </w:rPr>
        <w:t>**Cadre réglementaire :**</w:t>
      </w:r>
    </w:p>
    <w:p>
      <w:pPr>
        <w:pStyle w:val="ListBullet"/>
      </w:pPr>
      <w:r>
        <w:t>Article 432-4 du Code pénal : séquestration ou détention arbitraire</w:t>
      </w:r>
    </w:p>
    <w:p>
      <w:pPr>
        <w:pStyle w:val="ListBullet"/>
      </w:pPr>
      <w:r>
        <w:t>Charte des droits et libertés de la personne accueillie (2003)</w:t>
      </w:r>
    </w:p>
    <w:p>
      <w:pPr>
        <w:pStyle w:val="ListBullet"/>
      </w:pPr>
      <w:r>
        <w:t>Loi du 5 juillet 2011 relative aux droits des personnes</w:t>
      </w:r>
    </w:p>
    <w:p>
      <w:r>
        <w:rPr>
          <w:rFonts w:ascii="Arial" w:hAnsi="Arial"/>
        </w:rPr>
        <w:t>**Types de contention physique :**</w:t>
      </w:r>
    </w:p>
    <w:p>
      <w:pPr>
        <w:pStyle w:val="ListBullet"/>
      </w:pPr>
      <w:r>
        <w:t>**Contention au fauteuil** : Ceinture pelvienne, table bloquante, ceinture thoracique</w:t>
      </w:r>
    </w:p>
    <w:p>
      <w:pPr>
        <w:pStyle w:val="ListBullet"/>
      </w:pPr>
      <w:r>
        <w:t>**Contention au lit** : Barrières de lit 4 côtés, draps serrés, gilet de contention</w:t>
      </w:r>
    </w:p>
    <w:p>
      <w:pPr>
        <w:pStyle w:val="ListBullet"/>
      </w:pPr>
      <w:r>
        <w:t>**Contention architecturale** : Porte fermée à clé, bracelet anti-fugue</w:t>
      </w:r>
    </w:p>
    <w:p>
      <w:r>
        <w:rPr>
          <w:rFonts w:ascii="Arial" w:hAnsi="Arial"/>
        </w:rPr>
        <w:t>**Alternatives à privilégier :**</w:t>
      </w:r>
    </w:p>
    <w:p>
      <w:pPr>
        <w:pStyle w:val="ListBullet"/>
      </w:pPr>
      <w:r>
        <w:t>**Environnement adapté** : Lit bas, tapis de sol, couloir de déambulation sécurisé</w:t>
      </w:r>
    </w:p>
    <w:p>
      <w:pPr>
        <w:pStyle w:val="ListBullet"/>
      </w:pPr>
      <w:r>
        <w:t>**Technologie** : Détecteur de chute, système Vigil, alarme de porte</w:t>
      </w:r>
    </w:p>
    <w:p>
      <w:pPr>
        <w:pStyle w:val="ListBullet"/>
      </w:pPr>
      <w:r>
        <w:t>**Accompagnement humain** : Présence, écoute, réassurance</w:t>
      </w:r>
    </w:p>
    <w:p>
      <w:pPr>
        <w:pStyle w:val="ListBullet"/>
      </w:pPr>
      <w:r>
        <w:t>**Thérapies non médicamenteuses** : Musicothérapie, relaxation, activités adaptées</w:t>
      </w:r>
    </w:p>
    <w:p>
      <w:pPr>
        <w:pStyle w:val="ListBullet"/>
      </w:pPr>
      <w:r>
        <w:t>**Aménagement architectural** : Sécurisation des lieux, signalétique, éclairage adapté</w:t>
      </w:r>
    </w:p>
    <w:p>
      <w:r>
        <w:rPr>
          <w:rFonts w:ascii="Arial" w:hAnsi="Arial"/>
        </w:rPr>
        <w:t>**Surveillance en cas de contention :**</w:t>
      </w:r>
    </w:p>
    <w:p>
      <w:pPr>
        <w:pStyle w:val="ListBullet"/>
      </w:pPr>
      <w:r>
        <w:t>État cutané (compression, escarre)</w:t>
      </w:r>
    </w:p>
    <w:p>
      <w:pPr>
        <w:pStyle w:val="ListBullet"/>
      </w:pPr>
      <w:r>
        <w:t>Constantes vitales</w:t>
      </w:r>
    </w:p>
    <w:p>
      <w:pPr>
        <w:pStyle w:val="ListBullet"/>
      </w:pPr>
      <w:r>
        <w:t>État psychologique (anxiété, agitation)</w:t>
      </w:r>
    </w:p>
    <w:p>
      <w:pPr>
        <w:pStyle w:val="ListBullet"/>
      </w:pPr>
      <w:r>
        <w:t>Confort et dignité</w:t>
      </w:r>
    </w:p>
    <w:p>
      <w:pPr>
        <w:pStyle w:val="ListBullet"/>
      </w:pPr>
      <w:r>
        <w:t>Alimentation et hydratation</w:t>
      </w:r>
    </w:p>
    <w:p>
      <w:pPr>
        <w:pStyle w:val="ListBullet"/>
      </w:pPr>
      <w:r>
        <w:t>Mobilisation régulière</w:t>
      </w:r>
    </w:p>
    <w:p>
      <w:r>
        <w:rPr>
          <w:rFonts w:ascii="Arial" w:hAnsi="Arial"/>
        </w:rPr>
        <w:t>**Outils internes Belle Viste :**</w:t>
      </w:r>
    </w:p>
    <w:p>
      <w:pPr>
        <w:pStyle w:val="ListBullet"/>
      </w:pPr>
      <w:r>
        <w:t>Protocole PROT-CONT-001 "Prévention et gestion des mesures de restriction"</w:t>
      </w:r>
    </w:p>
    <w:p>
      <w:pPr>
        <w:pStyle w:val="ListBullet"/>
      </w:pPr>
      <w:r>
        <w:t>Fiche FICH-CONT-001 "Traçabilité contention"</w:t>
      </w:r>
    </w:p>
    <w:p>
      <w:pPr>
        <w:pStyle w:val="ListBullet"/>
      </w:pPr>
      <w:r>
        <w:t>Fiche FICH-SURV-001 "Surveillance contention"</w:t>
      </w:r>
    </w:p>
    <w:p>
      <w:pPr>
        <w:pStyle w:val="ListBullet"/>
      </w:pPr>
      <w:r>
        <w:t>Formulaire FORM-CONSENT-001 "Consentement éclairé contention"</w:t>
      </w:r>
    </w:p>
    <w:p>
      <w:pPr>
        <w:pStyle w:val="ListBullet"/>
      </w:pPr>
      <w:r>
        <w:t>Registre REG-CONT-001 "Registre des contentions"</w:t>
      </w:r>
    </w:p>
    <w:p>
      <w:r>
        <w:rPr>
          <w:rFonts w:ascii="Arial" w:hAnsi="Arial"/>
        </w:rPr>
        <w:t>**Indicateurs de suivi :**</w:t>
      </w:r>
    </w:p>
    <w:p>
      <w:pPr>
        <w:pStyle w:val="ListBullet"/>
      </w:pPr>
      <w:r>
        <w:t>Nombre de résidents sous contention / total (objectif : réduction progressive)</w:t>
      </w:r>
    </w:p>
    <w:p>
      <w:pPr>
        <w:pStyle w:val="ListBullet"/>
      </w:pPr>
      <w:r>
        <w:t>Types de contention (physique, médicamenteuse)</w:t>
      </w:r>
    </w:p>
    <w:p>
      <w:pPr>
        <w:pStyle w:val="ListBullet"/>
      </w:pPr>
      <w:r>
        <w:t>Durée moyenne de contention</w:t>
      </w:r>
    </w:p>
    <w:p>
      <w:pPr>
        <w:pStyle w:val="ListBullet"/>
      </w:pPr>
      <w:r>
        <w:t>Nombre d'alternatives mises en place</w:t>
      </w:r>
    </w:p>
    <w:p>
      <w:pPr>
        <w:pStyle w:val="ListBullet"/>
      </w:pPr>
      <w:r>
        <w:t>Nombre de contentions levées après réévaluation</w:t>
      </w:r>
    </w:p>
    <w:p>
      <w:r>
        <w:rPr>
          <w:rFonts w:ascii="Arial" w:hAnsi="Arial"/>
        </w:rPr>
        <w:t>**Contact :**</w:t>
      </w:r>
    </w:p>
    <w:p>
      <w:pPr>
        <w:pStyle w:val="ListBullet"/>
      </w:pPr>
      <w:r>
        <w:t>Médecin coordonnateur : Dr [NOM]</w:t>
      </w:r>
    </w:p>
    <w:p>
      <w:pPr>
        <w:pStyle w:val="ListBullet"/>
      </w:pPr>
      <w:r>
        <w:t>Psychomotricienne : [NOM]</w:t>
      </w:r>
    </w:p>
    <w:p>
      <w:pPr>
        <w:pStyle w:val="ListBullet"/>
      </w:pPr>
      <w:r>
        <w:t>IDEC : [NOM]</w:t>
      </w:r>
    </w:p>
    <w:p>
      <w:pPr>
        <w:pStyle w:val="ListBullet"/>
      </w:pPr>
      <w:r>
        <w:t>Référent maltraitance : [NOM]</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