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56283f1f0b408ed14a8935b6d5fea12589a954c"/>
    <w:p>
      <w:pPr>
        <w:pStyle w:val="Heading1"/>
      </w:pPr>
      <w:r>
        <w:t xml:space="preserve">SHOPNEXA PLATFORM MASTER REPORT (Condensed PDF Version)</w:t>
      </w:r>
    </w:p>
    <w:p>
      <w:pPr>
        <w:pStyle w:val="FirstParagraph"/>
      </w:pPr>
      <w:r>
        <w:t xml:space="preserve">Bold Vision • Exaggerated Ambition • Actionable Architecture</w:t>
      </w:r>
    </w:p>
    <w:bookmarkStart w:id="9" w:name="executive-hyper-summary"/>
    <w:p>
      <w:pPr>
        <w:pStyle w:val="Heading2"/>
      </w:pPr>
      <w:r>
        <w:t xml:space="preserve">1. Executive Hyper-Summary</w:t>
      </w:r>
    </w:p>
    <w:p>
      <w:pPr>
        <w:pStyle w:val="FirstParagraph"/>
      </w:pPr>
      <w:r>
        <w:t xml:space="preserve">Shopnexa aspires to be a full-spectrum, intelligence-driven commerce OS spanning product discovery, hybrid payment, logistics transparency, and growth analytics.</w:t>
      </w:r>
    </w:p>
    <w:bookmarkEnd w:id="9"/>
    <w:bookmarkStart w:id="10" w:name="differentiators"/>
    <w:p>
      <w:pPr>
        <w:pStyle w:val="Heading2"/>
      </w:pPr>
      <w:r>
        <w:t xml:space="preserve">2. Differentiators</w:t>
      </w:r>
    </w:p>
    <w:p>
      <w:pPr>
        <w:pStyle w:val="Compact"/>
        <w:numPr>
          <w:ilvl w:val="0"/>
          <w:numId w:val="1001"/>
        </w:numPr>
      </w:pPr>
      <w:r>
        <w:t xml:space="preserve">Human-like deterministic retailer assignment</w:t>
      </w:r>
    </w:p>
    <w:p>
      <w:pPr>
        <w:pStyle w:val="Compact"/>
        <w:numPr>
          <w:ilvl w:val="0"/>
          <w:numId w:val="1001"/>
        </w:numPr>
      </w:pPr>
      <w:r>
        <w:t xml:space="preserve">Offline order + calendar scheduling (.ics)</w:t>
      </w:r>
    </w:p>
    <w:p>
      <w:pPr>
        <w:pStyle w:val="Compact"/>
        <w:numPr>
          <w:ilvl w:val="0"/>
          <w:numId w:val="1001"/>
        </w:numPr>
      </w:pPr>
      <w:r>
        <w:t xml:space="preserve">Multi-modal payments (Card OTP, UPI, COD, EMI)</w:t>
      </w:r>
    </w:p>
    <w:p>
      <w:pPr>
        <w:pStyle w:val="Compact"/>
        <w:numPr>
          <w:ilvl w:val="0"/>
          <w:numId w:val="1001"/>
        </w:numPr>
      </w:pPr>
      <w:r>
        <w:t xml:space="preserve">Event-driven future architecture</w:t>
      </w:r>
    </w:p>
    <w:bookmarkEnd w:id="10"/>
    <w:bookmarkStart w:id="11" w:name="stack-target"/>
    <w:p>
      <w:pPr>
        <w:pStyle w:val="Heading2"/>
      </w:pPr>
      <w:r>
        <w:t xml:space="preserve">3. Stack (Target)</w:t>
      </w:r>
    </w:p>
    <w:p>
      <w:pPr>
        <w:pStyle w:val="FirstParagraph"/>
      </w:pPr>
      <w:r>
        <w:t xml:space="preserve">Frontend: React + Tailwind</w:t>
      </w:r>
      <w:r>
        <w:t xml:space="preserve"> </w:t>
      </w:r>
      <w:r>
        <w:t xml:space="preserve">Backend: Supabase → Node microservices</w:t>
      </w:r>
      <w:r>
        <w:t xml:space="preserve"> </w:t>
      </w:r>
      <w:r>
        <w:t xml:space="preserve">Data: Postgres, Redis, ClickHouse (future)</w:t>
      </w:r>
      <w:r>
        <w:t xml:space="preserve"> </w:t>
      </w:r>
      <w:r>
        <w:t xml:space="preserve">Messaging: Kafka/NATS</w:t>
      </w:r>
      <w:r>
        <w:t xml:space="preserve"> </w:t>
      </w:r>
      <w:r>
        <w:t xml:space="preserve">Observability: OpenTelemetry, Prometheus, Grafana</w:t>
      </w:r>
    </w:p>
    <w:bookmarkEnd w:id="11"/>
    <w:bookmarkStart w:id="12" w:name="data-model-key-entities"/>
    <w:p>
      <w:pPr>
        <w:pStyle w:val="Heading2"/>
      </w:pPr>
      <w:r>
        <w:t xml:space="preserve">4. Data Model (Key Entities)</w:t>
      </w:r>
    </w:p>
    <w:p>
      <w:pPr>
        <w:pStyle w:val="FirstParagraph"/>
      </w:pPr>
      <w:r>
        <w:t xml:space="preserve">User, Product, Retailer, Order, Payment, Event</w:t>
      </w:r>
    </w:p>
    <w:bookmarkEnd w:id="12"/>
    <w:bookmarkStart w:id="13" w:name="payment-flows"/>
    <w:p>
      <w:pPr>
        <w:pStyle w:val="Heading2"/>
      </w:pPr>
      <w:r>
        <w:t xml:space="preserve">5. Payment Flows</w:t>
      </w:r>
    </w:p>
    <w:p>
      <w:pPr>
        <w:pStyle w:val="FirstParagraph"/>
      </w:pPr>
      <w:r>
        <w:t xml:space="preserve">Card (OTP), UPI (QR timer), COD (fee), EMI (schedule preview)</w:t>
      </w:r>
    </w:p>
    <w:bookmarkEnd w:id="13"/>
    <w:bookmarkStart w:id="14" w:name="offline-panel"/>
    <w:p>
      <w:pPr>
        <w:pStyle w:val="Heading2"/>
      </w:pPr>
      <w:r>
        <w:t xml:space="preserve">6. Offline Panel</w:t>
      </w:r>
    </w:p>
    <w:p>
      <w:pPr>
        <w:pStyle w:val="FirstParagraph"/>
      </w:pPr>
      <w:r>
        <w:t xml:space="preserve">Retailer name + synthetic phone, calendar link, ICS generation.</w:t>
      </w:r>
    </w:p>
    <w:bookmarkEnd w:id="14"/>
    <w:bookmarkStart w:id="15" w:name="roadmap-phases"/>
    <w:p>
      <w:pPr>
        <w:pStyle w:val="Heading2"/>
      </w:pPr>
      <w:r>
        <w:t xml:space="preserve">7. Roadmap (Phases)</w:t>
      </w:r>
    </w:p>
    <w:p>
      <w:pPr>
        <w:pStyle w:val="FirstParagraph"/>
      </w:pPr>
      <w:r>
        <w:t xml:space="preserve">0: Prototype</w:t>
      </w:r>
      <w:r>
        <w:t xml:space="preserve"> </w:t>
      </w:r>
      <w:r>
        <w:t xml:space="preserve">1: Supabase Migration</w:t>
      </w:r>
      <w:r>
        <w:t xml:space="preserve"> </w:t>
      </w:r>
      <w:r>
        <w:t xml:space="preserve">2: Service Split</w:t>
      </w:r>
      <w:r>
        <w:t xml:space="preserve"> </w:t>
      </w:r>
      <w:r>
        <w:t xml:space="preserve">3: Event Bus</w:t>
      </w:r>
      <w:r>
        <w:t xml:space="preserve"> </w:t>
      </w:r>
      <w:r>
        <w:t xml:space="preserve">4: AI Recommendations</w:t>
      </w:r>
      <w:r>
        <w:t xml:space="preserve"> </w:t>
      </w:r>
      <w:r>
        <w:t xml:space="preserve">5: Multi-Tenant</w:t>
      </w:r>
      <w:r>
        <w:t xml:space="preserve"> </w:t>
      </w:r>
      <w:r>
        <w:t xml:space="preserve">6: Global Scale</w:t>
      </w:r>
    </w:p>
    <w:bookmarkEnd w:id="15"/>
    <w:bookmarkStart w:id="16" w:name="analytics-targets"/>
    <w:p>
      <w:pPr>
        <w:pStyle w:val="Heading2"/>
      </w:pPr>
      <w:r>
        <w:t xml:space="preserve">8. Analytics Targets</w:t>
      </w:r>
    </w:p>
    <w:p>
      <w:pPr>
        <w:pStyle w:val="FirstParagraph"/>
      </w:pPr>
      <w:r>
        <w:t xml:space="preserve">Funnel conversion, recommendation graph, churn signals.</w:t>
      </w:r>
    </w:p>
    <w:bookmarkEnd w:id="16"/>
    <w:bookmarkStart w:id="17" w:name="security-ladder"/>
    <w:p>
      <w:pPr>
        <w:pStyle w:val="Heading2"/>
      </w:pPr>
      <w:r>
        <w:t xml:space="preserve">9. Security Ladder</w:t>
      </w:r>
    </w:p>
    <w:p>
      <w:pPr>
        <w:pStyle w:val="FirstParagraph"/>
      </w:pPr>
      <w:r>
        <w:t xml:space="preserve">Input sanitization → RBAC + SSO → Audit + encryption.</w:t>
      </w:r>
    </w:p>
    <w:bookmarkEnd w:id="17"/>
    <w:bookmarkStart w:id="18" w:name="performance-targets"/>
    <w:p>
      <w:pPr>
        <w:pStyle w:val="Heading2"/>
      </w:pPr>
      <w:r>
        <w:t xml:space="preserve">10. Performance Targets</w:t>
      </w:r>
    </w:p>
    <w:p>
      <w:pPr>
        <w:pStyle w:val="FirstParagraph"/>
      </w:pPr>
      <w:r>
        <w:t xml:space="preserve">p95 product list &lt;150ms; order placement &lt;400ms; event write &lt;50ms.</w:t>
      </w:r>
    </w:p>
    <w:bookmarkEnd w:id="18"/>
    <w:bookmarkStart w:id="19" w:name="risks-mitigations"/>
    <w:p>
      <w:pPr>
        <w:pStyle w:val="Heading2"/>
      </w:pPr>
      <w:r>
        <w:t xml:space="preserve">11. Risks &amp; Mitigations</w:t>
      </w:r>
    </w:p>
    <w:p>
      <w:pPr>
        <w:pStyle w:val="FirstParagraph"/>
      </w:pPr>
      <w:r>
        <w:t xml:space="preserve">LocalStorage dependence → migrate early.</w:t>
      </w:r>
      <w:r>
        <w:t xml:space="preserve"> </w:t>
      </w:r>
      <w:r>
        <w:t xml:space="preserve">Synthetic retailer fatigue → onboarding pipeline.</w:t>
      </w:r>
      <w:r>
        <w:t xml:space="preserve"> </w:t>
      </w:r>
      <w:r>
        <w:t xml:space="preserve">Payment reconciliation drift → idempotent webhooks.</w:t>
      </w:r>
      <w:r>
        <w:t xml:space="preserve"> </w:t>
      </w:r>
      <w:r>
        <w:t xml:space="preserve">Event volume explosion → tiered retention.</w:t>
      </w:r>
    </w:p>
    <w:bookmarkEnd w:id="19"/>
    <w:bookmarkStart w:id="20" w:name="conclusion"/>
    <w:p>
      <w:pPr>
        <w:pStyle w:val="Heading2"/>
      </w:pPr>
      <w:r>
        <w:t xml:space="preserve">12. Conclusion</w:t>
      </w:r>
    </w:p>
    <w:p>
      <w:pPr>
        <w:pStyle w:val="FirstParagraph"/>
      </w:pPr>
      <w:r>
        <w:t xml:space="preserve">Shopnexa aims for a defensible evolution from lean MVP to intelligent, multi-tenant commerce infrastructure.</w:t>
      </w:r>
    </w:p>
    <w:p>
      <w:pPr>
        <w:pStyle w:val="BodyText"/>
      </w:pPr>
      <w:r>
        <w:t xml:space="preserve">Generated: 2025-11-23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2025-11-23T10:19:42Z</dcterms:created>
  <dcterms:modified xsi:type="dcterms:W3CDTF">2025-11-23T10:19:42Z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