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73842">
      <w:pPr>
        <w:pStyle w:val="ConsPlusNormal"/>
        <w:jc w:val="both"/>
        <w:outlineLvl w:val="0"/>
      </w:pPr>
      <w:bookmarkStart w:id="0" w:name="_GoBack"/>
      <w:bookmarkEnd w:id="0"/>
    </w:p>
    <w:p w:rsidR="00000000" w:rsidRDefault="00173842">
      <w:pPr>
        <w:pStyle w:val="ConsPlusNormal"/>
        <w:outlineLvl w:val="0"/>
      </w:pPr>
      <w:r>
        <w:t>Зарегистрировано в Минюсте России 5 мая 2012 г. N 24082</w:t>
      </w:r>
    </w:p>
    <w:p w:rsidR="00000000" w:rsidRDefault="0017384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00000" w:rsidRDefault="00173842">
      <w:pPr>
        <w:pStyle w:val="ConsPlusNormal"/>
      </w:pPr>
    </w:p>
    <w:p w:rsidR="00000000" w:rsidRDefault="00173842">
      <w:pPr>
        <w:pStyle w:val="ConsPlusTitle"/>
        <w:jc w:val="center"/>
      </w:pPr>
      <w:r>
        <w:t>МИНИСТЕРСТВО ЗДРАВООХРАНЕНИЯ И СОЦИАЛЬНОГО РАЗВИТИЯ</w:t>
      </w:r>
    </w:p>
    <w:p w:rsidR="00000000" w:rsidRDefault="00173842">
      <w:pPr>
        <w:pStyle w:val="ConsPlusTitle"/>
        <w:jc w:val="center"/>
      </w:pPr>
      <w:r>
        <w:t>РОССИЙСКОЙ ФЕДЕРАЦИИ</w:t>
      </w:r>
    </w:p>
    <w:p w:rsidR="00000000" w:rsidRDefault="00173842">
      <w:pPr>
        <w:pStyle w:val="ConsPlusTitle"/>
        <w:jc w:val="center"/>
      </w:pPr>
    </w:p>
    <w:p w:rsidR="00000000" w:rsidRDefault="00173842">
      <w:pPr>
        <w:pStyle w:val="ConsPlusTitle"/>
        <w:jc w:val="center"/>
      </w:pPr>
      <w:r>
        <w:t>ПРИКАЗ</w:t>
      </w:r>
    </w:p>
    <w:p w:rsidR="00000000" w:rsidRDefault="00173842">
      <w:pPr>
        <w:pStyle w:val="ConsPlusTitle"/>
        <w:jc w:val="center"/>
      </w:pPr>
      <w:r>
        <w:t>от 23 апреля 2012 г. N 390н</w:t>
      </w:r>
    </w:p>
    <w:p w:rsidR="00000000" w:rsidRDefault="00173842">
      <w:pPr>
        <w:pStyle w:val="ConsPlusTitle"/>
        <w:jc w:val="center"/>
      </w:pPr>
    </w:p>
    <w:p w:rsidR="00000000" w:rsidRDefault="00173842">
      <w:pPr>
        <w:pStyle w:val="ConsPlusTitle"/>
        <w:jc w:val="center"/>
      </w:pPr>
      <w:r>
        <w:t>ОБ УТВЕРЖДЕНИИ ПЕРЕЧНЯ</w:t>
      </w:r>
    </w:p>
    <w:p w:rsidR="00000000" w:rsidRDefault="00173842">
      <w:pPr>
        <w:pStyle w:val="ConsPlusTitle"/>
        <w:jc w:val="center"/>
      </w:pPr>
      <w:r>
        <w:t>ОПРЕДЕЛЕННЫХ ВИДОВ МЕДИЦИНСКИХ ВМЕШАТЕЛЬСТВ,</w:t>
      </w:r>
    </w:p>
    <w:p w:rsidR="00000000" w:rsidRDefault="00173842">
      <w:pPr>
        <w:pStyle w:val="ConsPlusTitle"/>
        <w:jc w:val="center"/>
      </w:pPr>
      <w:r>
        <w:t xml:space="preserve">НА КОТОРЫЕ ГРАЖДАНЕ ДАЮТ </w:t>
      </w:r>
      <w:proofErr w:type="gramStart"/>
      <w:r>
        <w:t>ИНФОРМИРОВАННОЕ</w:t>
      </w:r>
      <w:proofErr w:type="gramEnd"/>
      <w:r>
        <w:t xml:space="preserve"> ДОБРОВОЛЬНОЕ</w:t>
      </w:r>
    </w:p>
    <w:p w:rsidR="00000000" w:rsidRDefault="00173842">
      <w:pPr>
        <w:pStyle w:val="ConsPlusTitle"/>
        <w:jc w:val="center"/>
      </w:pPr>
      <w:r>
        <w:t>СОГЛАСИЕ ПРИ ВЫБОРЕ ВРАЧА И МЕДИЦИНСКОЙ ОРГАНИЗАЦИИ</w:t>
      </w:r>
    </w:p>
    <w:p w:rsidR="00000000" w:rsidRDefault="00173842">
      <w:pPr>
        <w:pStyle w:val="ConsPlusTitle"/>
        <w:jc w:val="center"/>
      </w:pPr>
      <w:r>
        <w:t>ДЛЯ ПОЛУЧЕНИЯ ПЕРВИЧНОЙ МЕДИКО-САНИТАРНОЙ ПОМО</w:t>
      </w:r>
      <w:r>
        <w:t>ЩИ</w:t>
      </w:r>
    </w:p>
    <w:p w:rsidR="00000000" w:rsidRDefault="00173842">
      <w:pPr>
        <w:pStyle w:val="ConsPlusNormal"/>
        <w:ind w:firstLine="540"/>
        <w:jc w:val="both"/>
      </w:pPr>
    </w:p>
    <w:p w:rsidR="00000000" w:rsidRDefault="00173842">
      <w:pPr>
        <w:pStyle w:val="ConsPlusNormal"/>
        <w:ind w:firstLine="540"/>
        <w:jc w:val="both"/>
      </w:pPr>
      <w:r>
        <w:t>В соответствии со статьей 20 Федерального закона от 21 ноября 2011 г. N 323-ФЗ "Об основах охраны здоровья граждан в Российской Федерации" (Собрание законодательства Российской Федерации, 2011, N 48, ст. 6724) приказываю:</w:t>
      </w:r>
    </w:p>
    <w:p w:rsidR="00000000" w:rsidRDefault="00173842">
      <w:pPr>
        <w:pStyle w:val="ConsPlusNormal"/>
        <w:ind w:firstLine="540"/>
        <w:jc w:val="both"/>
      </w:pPr>
      <w:r>
        <w:t xml:space="preserve">Утвердить </w:t>
      </w:r>
      <w:hyperlink w:anchor="Par32" w:tooltip="ПЕРЕЧЕНЬ" w:history="1">
        <w:r>
          <w:rPr>
            <w:color w:val="0000FF"/>
          </w:rPr>
          <w:t>Перечень</w:t>
        </w:r>
      </w:hyperlink>
      <w:r>
        <w:t xml:space="preserve">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согласно приложению.</w:t>
      </w:r>
    </w:p>
    <w:p w:rsidR="00000000" w:rsidRDefault="00173842">
      <w:pPr>
        <w:pStyle w:val="ConsPlusNormal"/>
        <w:ind w:firstLine="540"/>
        <w:jc w:val="both"/>
      </w:pPr>
    </w:p>
    <w:p w:rsidR="00000000" w:rsidRDefault="00173842">
      <w:pPr>
        <w:pStyle w:val="ConsPlusNormal"/>
        <w:jc w:val="right"/>
      </w:pPr>
      <w:r>
        <w:t>Министр</w:t>
      </w:r>
    </w:p>
    <w:p w:rsidR="00000000" w:rsidRDefault="00173842">
      <w:pPr>
        <w:pStyle w:val="ConsPlusNormal"/>
        <w:jc w:val="right"/>
      </w:pPr>
      <w:r>
        <w:t>Т.А.ГОЛИКОВА</w:t>
      </w:r>
    </w:p>
    <w:p w:rsidR="00000000" w:rsidRDefault="00173842">
      <w:pPr>
        <w:pStyle w:val="ConsPlusNormal"/>
        <w:jc w:val="center"/>
      </w:pPr>
    </w:p>
    <w:p w:rsidR="00000000" w:rsidRDefault="00173842">
      <w:pPr>
        <w:pStyle w:val="ConsPlusNormal"/>
        <w:jc w:val="center"/>
      </w:pPr>
    </w:p>
    <w:p w:rsidR="00000000" w:rsidRDefault="00173842">
      <w:pPr>
        <w:pStyle w:val="ConsPlusNormal"/>
        <w:jc w:val="center"/>
      </w:pPr>
    </w:p>
    <w:p w:rsidR="00000000" w:rsidRDefault="00173842">
      <w:pPr>
        <w:pStyle w:val="ConsPlusNormal"/>
        <w:jc w:val="center"/>
      </w:pPr>
    </w:p>
    <w:p w:rsidR="00000000" w:rsidRDefault="00173842">
      <w:pPr>
        <w:pStyle w:val="ConsPlusNormal"/>
        <w:jc w:val="center"/>
      </w:pPr>
    </w:p>
    <w:p w:rsidR="00000000" w:rsidRDefault="00173842">
      <w:pPr>
        <w:pStyle w:val="ConsPlusNormal"/>
        <w:jc w:val="right"/>
        <w:outlineLvl w:val="0"/>
      </w:pPr>
      <w:r>
        <w:t>Приложение</w:t>
      </w:r>
    </w:p>
    <w:p w:rsidR="00000000" w:rsidRDefault="00173842">
      <w:pPr>
        <w:pStyle w:val="ConsPlusNormal"/>
        <w:jc w:val="right"/>
      </w:pPr>
      <w:r>
        <w:t>к приказу Министерства</w:t>
      </w:r>
    </w:p>
    <w:p w:rsidR="00000000" w:rsidRDefault="00173842">
      <w:pPr>
        <w:pStyle w:val="ConsPlusNormal"/>
        <w:jc w:val="right"/>
      </w:pPr>
      <w:r>
        <w:t>здравоохранения и социального</w:t>
      </w:r>
    </w:p>
    <w:p w:rsidR="00000000" w:rsidRDefault="00173842">
      <w:pPr>
        <w:pStyle w:val="ConsPlusNormal"/>
        <w:jc w:val="right"/>
      </w:pPr>
      <w:r>
        <w:t>развития Российской Федерации</w:t>
      </w:r>
    </w:p>
    <w:p w:rsidR="00000000" w:rsidRDefault="00173842">
      <w:pPr>
        <w:pStyle w:val="ConsPlusNormal"/>
        <w:jc w:val="right"/>
      </w:pPr>
      <w:r>
        <w:t>от 23 апреля 2012 г. N 390н</w:t>
      </w:r>
    </w:p>
    <w:p w:rsidR="00000000" w:rsidRDefault="00173842">
      <w:pPr>
        <w:pStyle w:val="ConsPlusNormal"/>
        <w:ind w:firstLine="540"/>
        <w:jc w:val="both"/>
      </w:pPr>
    </w:p>
    <w:p w:rsidR="00000000" w:rsidRDefault="00173842">
      <w:pPr>
        <w:pStyle w:val="ConsPlusTitle"/>
        <w:jc w:val="center"/>
      </w:pPr>
      <w:bookmarkStart w:id="1" w:name="Par32"/>
      <w:bookmarkEnd w:id="1"/>
      <w:r>
        <w:t>ПЕРЕЧЕНЬ</w:t>
      </w:r>
    </w:p>
    <w:p w:rsidR="00000000" w:rsidRDefault="00173842">
      <w:pPr>
        <w:pStyle w:val="ConsPlusTitle"/>
        <w:jc w:val="center"/>
      </w:pPr>
      <w:r>
        <w:t>ОПРЕДЕЛЕННЫХ ВИДОВ МЕДИЦИНСКИХ ВМЕШАТЕЛЬСТВ,</w:t>
      </w:r>
    </w:p>
    <w:p w:rsidR="00000000" w:rsidRDefault="00173842">
      <w:pPr>
        <w:pStyle w:val="ConsPlusTitle"/>
        <w:jc w:val="center"/>
      </w:pPr>
      <w:r>
        <w:t xml:space="preserve">НА КОТОРЫЕ ГРАЖДАНЕ ДАЮТ </w:t>
      </w:r>
      <w:proofErr w:type="gramStart"/>
      <w:r>
        <w:t>ИНФОРМИРОВАННОЕ</w:t>
      </w:r>
      <w:proofErr w:type="gramEnd"/>
      <w:r>
        <w:t xml:space="preserve"> ДОБРОВОЛЬН</w:t>
      </w:r>
      <w:r>
        <w:t>ОЕ</w:t>
      </w:r>
    </w:p>
    <w:p w:rsidR="00000000" w:rsidRDefault="00173842">
      <w:pPr>
        <w:pStyle w:val="ConsPlusTitle"/>
        <w:jc w:val="center"/>
      </w:pPr>
      <w:r>
        <w:t>СОГЛАСИЕ ПРИ ВЫБОРЕ ВРАЧА И МЕДИЦИНСКОЙ ОРГАНИЗАЦИИ</w:t>
      </w:r>
    </w:p>
    <w:p w:rsidR="00000000" w:rsidRDefault="00173842">
      <w:pPr>
        <w:pStyle w:val="ConsPlusTitle"/>
        <w:jc w:val="center"/>
      </w:pPr>
      <w:r>
        <w:t>ДЛЯ ПОЛУЧЕНИЯ ПЕРВИЧНОЙ МЕДИКО-САНИТАРНОЙ ПОМОЩИ</w:t>
      </w:r>
    </w:p>
    <w:p w:rsidR="00000000" w:rsidRDefault="00173842">
      <w:pPr>
        <w:pStyle w:val="ConsPlusNormal"/>
        <w:jc w:val="center"/>
      </w:pPr>
    </w:p>
    <w:p w:rsidR="00000000" w:rsidRDefault="00173842">
      <w:pPr>
        <w:pStyle w:val="ConsPlusNormal"/>
        <w:ind w:firstLine="540"/>
        <w:jc w:val="both"/>
      </w:pPr>
      <w:r>
        <w:t>1. Опрос, в том числе выявление жалоб, сбор анамнеза.</w:t>
      </w:r>
    </w:p>
    <w:p w:rsidR="00000000" w:rsidRDefault="00173842">
      <w:pPr>
        <w:pStyle w:val="ConsPlusNormal"/>
        <w:ind w:firstLine="540"/>
        <w:jc w:val="both"/>
      </w:pPr>
      <w:r>
        <w:t xml:space="preserve">2. </w:t>
      </w:r>
      <w:proofErr w:type="gramStart"/>
      <w:r>
        <w:t>Осмотр, в том числе пальпация, перкуссия, аускультация, риноскопия, фарингоскопия, непрямая ла</w:t>
      </w:r>
      <w:r>
        <w:t>рингоскопия, вагинальное исследование (для женщин), ректальное исследование.</w:t>
      </w:r>
      <w:proofErr w:type="gramEnd"/>
    </w:p>
    <w:p w:rsidR="00000000" w:rsidRDefault="00173842">
      <w:pPr>
        <w:pStyle w:val="ConsPlusNormal"/>
        <w:ind w:firstLine="540"/>
        <w:jc w:val="both"/>
      </w:pPr>
      <w:r>
        <w:t>3. Антропометрические исследования.</w:t>
      </w:r>
    </w:p>
    <w:p w:rsidR="00000000" w:rsidRDefault="00173842">
      <w:pPr>
        <w:pStyle w:val="ConsPlusNormal"/>
        <w:ind w:firstLine="540"/>
        <w:jc w:val="both"/>
      </w:pPr>
      <w:r>
        <w:t>4. Термометрия.</w:t>
      </w:r>
    </w:p>
    <w:p w:rsidR="00000000" w:rsidRDefault="00173842">
      <w:pPr>
        <w:pStyle w:val="ConsPlusNormal"/>
        <w:ind w:firstLine="540"/>
        <w:jc w:val="both"/>
      </w:pPr>
      <w:r>
        <w:t>5. Тонометрия.</w:t>
      </w:r>
    </w:p>
    <w:p w:rsidR="00000000" w:rsidRDefault="00173842">
      <w:pPr>
        <w:pStyle w:val="ConsPlusNormal"/>
        <w:ind w:firstLine="540"/>
        <w:jc w:val="both"/>
      </w:pPr>
      <w:r>
        <w:t xml:space="preserve">6. </w:t>
      </w:r>
      <w:proofErr w:type="spellStart"/>
      <w:r>
        <w:t>Неинвазивные</w:t>
      </w:r>
      <w:proofErr w:type="spellEnd"/>
      <w:r>
        <w:t xml:space="preserve"> исследования органа зрения и зрительных функций.</w:t>
      </w:r>
    </w:p>
    <w:p w:rsidR="00000000" w:rsidRDefault="00173842">
      <w:pPr>
        <w:pStyle w:val="ConsPlusNormal"/>
        <w:ind w:firstLine="540"/>
        <w:jc w:val="both"/>
      </w:pPr>
      <w:r>
        <w:t xml:space="preserve">7. </w:t>
      </w:r>
      <w:proofErr w:type="spellStart"/>
      <w:r>
        <w:t>Неинвазивные</w:t>
      </w:r>
      <w:proofErr w:type="spellEnd"/>
      <w:r>
        <w:t xml:space="preserve"> исследования органа слуха и слуховых функций.</w:t>
      </w:r>
    </w:p>
    <w:p w:rsidR="00000000" w:rsidRDefault="00173842">
      <w:pPr>
        <w:pStyle w:val="ConsPlusNormal"/>
        <w:ind w:firstLine="540"/>
        <w:jc w:val="both"/>
      </w:pPr>
      <w:r>
        <w:t>8. Исследование функций нервной системы (чувствительной и двигательной сферы).</w:t>
      </w:r>
    </w:p>
    <w:p w:rsidR="00000000" w:rsidRDefault="00173842">
      <w:pPr>
        <w:pStyle w:val="ConsPlusNormal"/>
        <w:ind w:firstLine="540"/>
        <w:jc w:val="both"/>
      </w:pPr>
      <w:r>
        <w:t xml:space="preserve">9. Лабораторные методы обследования, в том числе клинические, биохимические, бактериологические, вирусологические, </w:t>
      </w:r>
      <w:r>
        <w:t>иммунологические.</w:t>
      </w:r>
    </w:p>
    <w:p w:rsidR="00000000" w:rsidRDefault="00173842">
      <w:pPr>
        <w:pStyle w:val="ConsPlusNormal"/>
        <w:ind w:firstLine="540"/>
        <w:jc w:val="both"/>
      </w:pPr>
      <w:r>
        <w:t xml:space="preserve">10. Функциональные методы обследования, в том числе электрокардиография, суточное </w:t>
      </w:r>
      <w:proofErr w:type="spellStart"/>
      <w:r>
        <w:t>мониторирование</w:t>
      </w:r>
      <w:proofErr w:type="spellEnd"/>
      <w:r>
        <w:t xml:space="preserve"> артериального давления, суточное </w:t>
      </w:r>
      <w:proofErr w:type="spellStart"/>
      <w:r>
        <w:t>мониторирование</w:t>
      </w:r>
      <w:proofErr w:type="spellEnd"/>
      <w:r>
        <w:t xml:space="preserve"> электрокардиограммы, спирография, </w:t>
      </w:r>
      <w:proofErr w:type="spellStart"/>
      <w:r>
        <w:t>пневмотахометрия</w:t>
      </w:r>
      <w:proofErr w:type="spellEnd"/>
      <w:r>
        <w:t xml:space="preserve">, </w:t>
      </w:r>
      <w:proofErr w:type="spellStart"/>
      <w:r>
        <w:t>пикфлуометрия</w:t>
      </w:r>
      <w:proofErr w:type="spellEnd"/>
      <w:r>
        <w:t xml:space="preserve">, </w:t>
      </w:r>
      <w:proofErr w:type="spellStart"/>
      <w:r>
        <w:t>рэоэнцефалография</w:t>
      </w:r>
      <w:proofErr w:type="spellEnd"/>
      <w:r>
        <w:t>, элект</w:t>
      </w:r>
      <w:r>
        <w:t xml:space="preserve">роэнцефалография, </w:t>
      </w:r>
      <w:proofErr w:type="spellStart"/>
      <w:r>
        <w:t>кардиотокография</w:t>
      </w:r>
      <w:proofErr w:type="spellEnd"/>
      <w:r>
        <w:t xml:space="preserve"> (для беременных).</w:t>
      </w:r>
    </w:p>
    <w:p w:rsidR="00000000" w:rsidRDefault="00173842">
      <w:pPr>
        <w:pStyle w:val="ConsPlusNormal"/>
        <w:ind w:firstLine="540"/>
        <w:jc w:val="both"/>
      </w:pPr>
      <w:r>
        <w:t xml:space="preserve">11. Рентгенологические методы обследования, в том числе флюорография (для лиц старше 15 лет) и рентгенография, ультразвуковые исследования, </w:t>
      </w:r>
      <w:proofErr w:type="spellStart"/>
      <w:r>
        <w:t>допплерографические</w:t>
      </w:r>
      <w:proofErr w:type="spellEnd"/>
      <w:r>
        <w:t xml:space="preserve"> исследования.</w:t>
      </w:r>
    </w:p>
    <w:p w:rsidR="00000000" w:rsidRDefault="00173842">
      <w:pPr>
        <w:pStyle w:val="ConsPlusNormal"/>
        <w:ind w:firstLine="540"/>
        <w:jc w:val="both"/>
      </w:pPr>
      <w:r>
        <w:t>12. Введение лекарственных пр</w:t>
      </w:r>
      <w:r>
        <w:t xml:space="preserve">епаратов по назначению врача, в том числе внутримышечно, внутривенно, подкожно, </w:t>
      </w:r>
      <w:proofErr w:type="spellStart"/>
      <w:r>
        <w:t>внутрикожно</w:t>
      </w:r>
      <w:proofErr w:type="spellEnd"/>
      <w:r>
        <w:t>.</w:t>
      </w:r>
    </w:p>
    <w:p w:rsidR="00000000" w:rsidRDefault="00173842">
      <w:pPr>
        <w:pStyle w:val="ConsPlusNormal"/>
        <w:ind w:firstLine="540"/>
        <w:jc w:val="both"/>
      </w:pPr>
      <w:r>
        <w:t>13. Медицинский массаж.</w:t>
      </w:r>
    </w:p>
    <w:p w:rsidR="00000000" w:rsidRDefault="00173842">
      <w:pPr>
        <w:pStyle w:val="ConsPlusNormal"/>
        <w:ind w:firstLine="540"/>
        <w:jc w:val="both"/>
      </w:pPr>
      <w:r>
        <w:t>14. Лечебная физкультура.</w:t>
      </w:r>
    </w:p>
    <w:p w:rsidR="00000000" w:rsidRDefault="00173842">
      <w:pPr>
        <w:pStyle w:val="ConsPlusNormal"/>
        <w:ind w:firstLine="540"/>
        <w:jc w:val="both"/>
      </w:pPr>
    </w:p>
    <w:p w:rsidR="00000000" w:rsidRDefault="00173842">
      <w:pPr>
        <w:pStyle w:val="ConsPlusNormal"/>
        <w:ind w:firstLine="540"/>
        <w:jc w:val="both"/>
      </w:pPr>
    </w:p>
    <w:p w:rsidR="00173842" w:rsidRDefault="0017384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173842" w:rsidSect="00F00803">
      <w:footerReference w:type="default" r:id="rId7"/>
      <w:pgSz w:w="11906" w:h="16838"/>
      <w:pgMar w:top="720" w:right="720" w:bottom="720" w:left="720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842" w:rsidRDefault="00173842">
      <w:pPr>
        <w:spacing w:after="0" w:line="240" w:lineRule="auto"/>
      </w:pPr>
      <w:r>
        <w:separator/>
      </w:r>
    </w:p>
  </w:endnote>
  <w:endnote w:type="continuationSeparator" w:id="0">
    <w:p w:rsidR="00173842" w:rsidRDefault="0017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1" w:type="pct"/>
      <w:tblCellSpacing w:w="5" w:type="nil"/>
      <w:tblInd w:w="40" w:type="dxa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431"/>
      <w:gridCol w:w="3646"/>
      <w:gridCol w:w="3429"/>
    </w:tblGrid>
    <w:tr w:rsidR="00000000" w:rsidTr="00F00803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33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173842">
          <w:pPr>
            <w:pStyle w:val="ConsPlusNormal"/>
            <w:rPr>
              <w:b/>
              <w:bCs/>
              <w:color w:val="333399"/>
              <w:sz w:val="28"/>
              <w:szCs w:val="28"/>
            </w:rPr>
          </w:pPr>
        </w:p>
      </w:tc>
      <w:tc>
        <w:tcPr>
          <w:tcW w:w="1735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173842">
          <w:pPr>
            <w:pStyle w:val="ConsPlusNormal"/>
            <w:jc w:val="center"/>
            <w:rPr>
              <w:b/>
              <w:bCs/>
            </w:rPr>
          </w:pPr>
        </w:p>
      </w:tc>
      <w:tc>
        <w:tcPr>
          <w:tcW w:w="1633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173842" w:rsidP="00F00803">
          <w:pPr>
            <w:pStyle w:val="ConsPlusNormal"/>
          </w:pPr>
        </w:p>
      </w:tc>
    </w:tr>
  </w:tbl>
  <w:p w:rsidR="00000000" w:rsidRDefault="00173842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842" w:rsidRDefault="00173842">
      <w:pPr>
        <w:spacing w:after="0" w:line="240" w:lineRule="auto"/>
      </w:pPr>
      <w:r>
        <w:separator/>
      </w:r>
    </w:p>
  </w:footnote>
  <w:footnote w:type="continuationSeparator" w:id="0">
    <w:p w:rsidR="00173842" w:rsidRDefault="001738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803"/>
    <w:rsid w:val="00173842"/>
    <w:rsid w:val="00F0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16"/>
      <w:szCs w:val="16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0"/>
      <w:szCs w:val="20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F0080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00803"/>
  </w:style>
  <w:style w:type="paragraph" w:styleId="a5">
    <w:name w:val="footer"/>
    <w:basedOn w:val="a"/>
    <w:link w:val="a6"/>
    <w:uiPriority w:val="99"/>
    <w:unhideWhenUsed/>
    <w:rsid w:val="00F0080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008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16"/>
      <w:szCs w:val="16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0"/>
      <w:szCs w:val="20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F0080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00803"/>
  </w:style>
  <w:style w:type="paragraph" w:styleId="a5">
    <w:name w:val="footer"/>
    <w:basedOn w:val="a"/>
    <w:link w:val="a6"/>
    <w:uiPriority w:val="99"/>
    <w:unhideWhenUsed/>
    <w:rsid w:val="00F0080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00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377</Words>
  <Characters>2149</Characters>
  <Application>Microsoft Office Word</Application>
  <DocSecurity>2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Приказ Минздравсоцразвития России от 23.04.2012 N 390н"Об утверждении Перечня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</vt:lpstr>
    </vt:vector>
  </TitlesOfParts>
  <Company>КонсультантПлюс Версия 4016.00.30</Company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Минздравсоцразвития России от 23.04.2012 N 390н"Об утверждении Перечня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</dc:title>
  <dc:creator>Alexsei Antonov</dc:creator>
  <cp:lastModifiedBy>Alexsei Antonov</cp:lastModifiedBy>
  <cp:revision>2</cp:revision>
  <dcterms:created xsi:type="dcterms:W3CDTF">2017-01-15T09:43:00Z</dcterms:created>
  <dcterms:modified xsi:type="dcterms:W3CDTF">2017-01-15T09:43:00Z</dcterms:modified>
</cp:coreProperties>
</file>