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A2D59" w14:textId="77777777" w:rsidR="005035DE" w:rsidRDefault="005035DE" w:rsidP="005D1FAF">
      <w:pPr>
        <w:spacing w:after="0" w:line="240" w:lineRule="auto"/>
        <w:jc w:val="both"/>
      </w:pPr>
      <w:r>
        <w:t>To:</w:t>
      </w:r>
      <w:r>
        <w:tab/>
        <w:t xml:space="preserve">The </w:t>
      </w:r>
      <w:commentRangeStart w:id="0"/>
      <w:r>
        <w:t>Client</w:t>
      </w:r>
      <w:commentRangeEnd w:id="0"/>
      <w:r>
        <w:rPr>
          <w:rStyle w:val="CommentReference"/>
        </w:rPr>
        <w:commentReference w:id="0"/>
      </w:r>
    </w:p>
    <w:p w14:paraId="0F0A74A5" w14:textId="77777777" w:rsidR="005035DE" w:rsidRDefault="005035DE" w:rsidP="005D1FAF">
      <w:pPr>
        <w:spacing w:after="0" w:line="240" w:lineRule="auto"/>
        <w:jc w:val="both"/>
      </w:pPr>
      <w:r>
        <w:t>From:</w:t>
      </w:r>
      <w:r>
        <w:tab/>
      </w:r>
      <w:r w:rsidRPr="0040724F">
        <w:t>679850219</w:t>
      </w:r>
      <w:r>
        <w:t xml:space="preserve">, </w:t>
      </w:r>
      <w:r w:rsidRPr="0040724F">
        <w:t>672039068</w:t>
      </w:r>
      <w:r>
        <w:t xml:space="preserve">, </w:t>
      </w:r>
      <w:r w:rsidRPr="0040724F">
        <w:t>654324917</w:t>
      </w:r>
    </w:p>
    <w:p w14:paraId="1F299218" w14:textId="4F9154BE" w:rsidR="005035DE" w:rsidRDefault="002862A6" w:rsidP="005D1FAF">
      <w:pPr>
        <w:spacing w:after="0" w:line="240" w:lineRule="auto"/>
        <w:jc w:val="both"/>
      </w:pPr>
      <w:r>
        <w:t>Date:</w:t>
      </w:r>
      <w:r>
        <w:tab/>
      </w:r>
      <w:r w:rsidR="00880BCB">
        <w:t>April 3</w:t>
      </w:r>
      <w:r w:rsidR="00880BCB" w:rsidRPr="00880BCB">
        <w:rPr>
          <w:vertAlign w:val="superscript"/>
        </w:rPr>
        <w:t>rd</w:t>
      </w:r>
      <w:r w:rsidR="005035DE">
        <w:t>, 2017</w:t>
      </w:r>
    </w:p>
    <w:p w14:paraId="18D66662" w14:textId="5095977E" w:rsidR="005035DE" w:rsidRDefault="005035DE" w:rsidP="005D1FAF">
      <w:pPr>
        <w:spacing w:after="0" w:line="240" w:lineRule="auto"/>
        <w:jc w:val="both"/>
      </w:pPr>
      <w:r>
        <w:t>Re:</w:t>
      </w:r>
      <w:r>
        <w:tab/>
      </w:r>
      <w:r w:rsidR="00CF2232">
        <w:t xml:space="preserve">Blue </w:t>
      </w:r>
      <w:r w:rsidRPr="0040724F">
        <w:t>Cross</w:t>
      </w:r>
      <w:r w:rsidR="00CF2232">
        <w:t xml:space="preserve"> –</w:t>
      </w:r>
      <w:r w:rsidRPr="0040724F">
        <w:t xml:space="preserve"> Blue Shield health maintenance organization (HMO)</w:t>
      </w:r>
      <w:r>
        <w:t xml:space="preserve"> model</w:t>
      </w:r>
    </w:p>
    <w:p w14:paraId="4AF76317" w14:textId="77777777" w:rsidR="005035DE" w:rsidRDefault="005035DE" w:rsidP="005D1FAF">
      <w:pPr>
        <w:jc w:val="both"/>
      </w:pPr>
    </w:p>
    <w:p w14:paraId="714DA672" w14:textId="17B53C92" w:rsidR="005035DE" w:rsidRDefault="005035DE" w:rsidP="005D1FAF">
      <w:pPr>
        <w:jc w:val="both"/>
      </w:pPr>
      <w:r>
        <w:t xml:space="preserve">This memo is in response to your request to build a model for converting prospects </w:t>
      </w:r>
      <w:r w:rsidR="008366C9">
        <w:t>to sign</w:t>
      </w:r>
      <w:r>
        <w:t xml:space="preserve"> up for</w:t>
      </w:r>
      <w:r w:rsidR="008366C9">
        <w:t xml:space="preserve"> Blue</w:t>
      </w:r>
      <w:r>
        <w:t xml:space="preserve"> </w:t>
      </w:r>
      <w:r w:rsidRPr="0040724F">
        <w:t>Cross</w:t>
      </w:r>
      <w:r w:rsidR="008366C9">
        <w:t xml:space="preserve"> –</w:t>
      </w:r>
      <w:r w:rsidRPr="0040724F">
        <w:t xml:space="preserve"> Blue Shield</w:t>
      </w:r>
      <w:r w:rsidR="00880BCB">
        <w:t xml:space="preserve"> health maintenance organization</w:t>
      </w:r>
      <w:r>
        <w:t>.</w:t>
      </w:r>
    </w:p>
    <w:p w14:paraId="4A70E198" w14:textId="77777777" w:rsidR="005035DE" w:rsidRDefault="005035DE" w:rsidP="005D1FAF">
      <w:pPr>
        <w:jc w:val="both"/>
      </w:pPr>
      <w:r>
        <w:t>Specifically, you requested a model and analysis that would address four questions:</w:t>
      </w:r>
    </w:p>
    <w:p w14:paraId="678B60E7" w14:textId="77777777" w:rsidR="005035DE" w:rsidRPr="006F0C04" w:rsidRDefault="005035DE" w:rsidP="005D1FAF">
      <w:pPr>
        <w:pStyle w:val="ListParagraph"/>
        <w:numPr>
          <w:ilvl w:val="0"/>
          <w:numId w:val="1"/>
        </w:numPr>
        <w:jc w:val="both"/>
      </w:pPr>
      <w:r w:rsidRPr="006F0C04">
        <w:t>Can we build a model to cut our mailing quantities by 25% and still get MOST of our responses</w:t>
      </w:r>
      <w:r>
        <w:t>?</w:t>
      </w:r>
    </w:p>
    <w:p w14:paraId="69117234" w14:textId="77777777" w:rsidR="005035DE" w:rsidRPr="006F0C04" w:rsidRDefault="005035DE" w:rsidP="005D1FAF">
      <w:pPr>
        <w:pStyle w:val="ListParagraph"/>
        <w:numPr>
          <w:ilvl w:val="0"/>
          <w:numId w:val="1"/>
        </w:numPr>
        <w:jc w:val="both"/>
      </w:pPr>
      <w:r w:rsidRPr="006F0C04">
        <w:t>What are the variables in the model</w:t>
      </w:r>
      <w:r>
        <w:t>?</w:t>
      </w:r>
    </w:p>
    <w:p w14:paraId="5D57317F" w14:textId="77777777" w:rsidR="005035DE" w:rsidRDefault="005035DE" w:rsidP="005D1FAF">
      <w:pPr>
        <w:pStyle w:val="ListParagraph"/>
        <w:numPr>
          <w:ilvl w:val="0"/>
          <w:numId w:val="1"/>
        </w:numPr>
        <w:jc w:val="both"/>
      </w:pPr>
      <w:r w:rsidRPr="006F0C04">
        <w:t>Which ones are the most impactful and how do they impact the prediction of response</w:t>
      </w:r>
      <w:r>
        <w:t>?</w:t>
      </w:r>
    </w:p>
    <w:p w14:paraId="21D75A8A" w14:textId="1FA8E7A9" w:rsidR="00444BDA" w:rsidRDefault="005035DE" w:rsidP="005D1FAF">
      <w:pPr>
        <w:pStyle w:val="ListParagraph"/>
        <w:numPr>
          <w:ilvl w:val="0"/>
          <w:numId w:val="1"/>
        </w:numPr>
        <w:spacing w:before="240"/>
        <w:jc w:val="both"/>
      </w:pPr>
      <w:r w:rsidRPr="006F0C04">
        <w:t>If I want to cut my mail quantity by a different percent, what wou</w:t>
      </w:r>
      <w:r>
        <w:t>ld you suggest and what is the e</w:t>
      </w:r>
      <w:r w:rsidRPr="006F0C04">
        <w:t>ffect on the proportion of responses</w:t>
      </w:r>
      <w:r>
        <w:t>?</w:t>
      </w:r>
    </w:p>
    <w:p w14:paraId="5DB91C99" w14:textId="6AFF1C88" w:rsidR="00444BDA" w:rsidRDefault="002862A6" w:rsidP="005D1FAF">
      <w:pPr>
        <w:jc w:val="both"/>
      </w:pPr>
      <w:r>
        <w:t xml:space="preserve">Yes, we can build a model to cut our mailing quantities by 25%, in the model discussed below, </w:t>
      </w:r>
      <w:r w:rsidR="00444BDA">
        <w:t xml:space="preserve">the top 75% of prospects </w:t>
      </w:r>
      <w:r>
        <w:t>contain 92% of the total sales.</w:t>
      </w:r>
      <w:r w:rsidR="00444BDA">
        <w:t xml:space="preserve"> The variables used in the model are listed in table</w:t>
      </w:r>
      <w:r>
        <w:t xml:space="preserve"> 1 at the bottom of this page.</w:t>
      </w:r>
      <w:r w:rsidR="005D1FAF">
        <w:t xml:space="preserve"> </w:t>
      </w:r>
      <w:r w:rsidR="00444BDA">
        <w:t xml:space="preserve">An alternative cut-point exists at 70% of the prospect universe which contains 91% of the </w:t>
      </w:r>
      <w:r w:rsidR="00700A54">
        <w:t xml:space="preserve">total </w:t>
      </w:r>
      <w:r w:rsidR="00444BDA">
        <w:t xml:space="preserve">sales.  This cut-point was identified using lift </w:t>
      </w:r>
      <w:commentRangeStart w:id="1"/>
      <w:r w:rsidR="00444BDA">
        <w:t>analysis</w:t>
      </w:r>
      <w:commentRangeEnd w:id="1"/>
      <w:r w:rsidR="00444BDA">
        <w:rPr>
          <w:rStyle w:val="CommentReference"/>
        </w:rPr>
        <w:commentReference w:id="1"/>
      </w:r>
      <w:r w:rsidR="00444BDA">
        <w:t xml:space="preserve"> as discussed on </w:t>
      </w:r>
      <w:r w:rsidR="00444BDA" w:rsidRPr="009B5335">
        <w:t xml:space="preserve">page </w:t>
      </w:r>
      <w:r w:rsidR="00444BDA">
        <w:t>3</w:t>
      </w:r>
      <w:r w:rsidR="00444BDA" w:rsidRPr="009B5335">
        <w:t>.</w:t>
      </w:r>
    </w:p>
    <w:p w14:paraId="248A2168" w14:textId="77777777" w:rsidR="001E5ECF" w:rsidRDefault="001E5ECF" w:rsidP="005D1FAF">
      <w:pPr>
        <w:spacing w:after="0"/>
        <w:jc w:val="both"/>
      </w:pPr>
      <w:r>
        <w:rPr>
          <w:rStyle w:val="CommentReference"/>
        </w:rPr>
        <w:commentReference w:id="2"/>
      </w:r>
    </w:p>
    <w:p w14:paraId="7137E151" w14:textId="4CFF78BC" w:rsidR="001E5ECF" w:rsidRDefault="00B803A7" w:rsidP="005D1FAF">
      <w:pPr>
        <w:jc w:val="both"/>
      </w:pPr>
      <w:r>
        <w:rPr>
          <w:b/>
        </w:rPr>
        <w:t>Top 75</w:t>
      </w:r>
      <w:r w:rsidR="001E5ECF">
        <w:rPr>
          <w:b/>
        </w:rPr>
        <w:t>% of Prospects</w:t>
      </w:r>
      <w:r w:rsidR="001E5ECF" w:rsidRPr="000B52DE">
        <w:rPr>
          <w:b/>
        </w:rPr>
        <w:t>.</w:t>
      </w:r>
      <w:r w:rsidR="004B29D0">
        <w:rPr>
          <w:b/>
        </w:rPr>
        <w:t xml:space="preserve">  </w:t>
      </w:r>
      <w:r w:rsidR="00444BDA">
        <w:t>Regression modeling was used to identify the characteristics that were most strongly associated with signing up for the</w:t>
      </w:r>
      <w:r>
        <w:t xml:space="preserve"> Blue</w:t>
      </w:r>
      <w:r w:rsidR="00444BDA">
        <w:t xml:space="preserve"> </w:t>
      </w:r>
      <w:r w:rsidR="00444BDA" w:rsidRPr="0040724F">
        <w:t>Cross</w:t>
      </w:r>
      <w:r>
        <w:t xml:space="preserve"> –</w:t>
      </w:r>
      <w:r w:rsidR="00444BDA" w:rsidRPr="0040724F">
        <w:t xml:space="preserve"> Blue Shield health maintenance organization (HMO)</w:t>
      </w:r>
      <w:r w:rsidR="00444BDA">
        <w:t xml:space="preserve">.  The results of that modeling showed that the top </w:t>
      </w:r>
      <w:r w:rsidR="005D1FAF">
        <w:t>75</w:t>
      </w:r>
      <w:r w:rsidR="00444BDA">
        <w:t xml:space="preserve">% of prospects contained </w:t>
      </w:r>
      <w:r w:rsidR="005D1FAF">
        <w:t>92</w:t>
      </w:r>
      <w:r w:rsidR="00444BDA">
        <w:t xml:space="preserve">% of the total sales.  By abstaining from contacting the bottom </w:t>
      </w:r>
      <w:r w:rsidR="005D1FAF">
        <w:t>25%</w:t>
      </w:r>
      <w:r w:rsidR="00444BDA">
        <w:t xml:space="preserve"> of the prospect file you can increase your response rate from </w:t>
      </w:r>
      <w:r w:rsidR="00444BDA" w:rsidRPr="00B803A7">
        <w:t>5</w:t>
      </w:r>
      <w:r w:rsidRPr="00B803A7">
        <w:t>.94</w:t>
      </w:r>
      <w:r w:rsidR="00444BDA" w:rsidRPr="00B803A7">
        <w:t xml:space="preserve">% to </w:t>
      </w:r>
      <w:r w:rsidRPr="00B803A7">
        <w:t>7.28</w:t>
      </w:r>
      <w:r w:rsidR="00444BDA" w:rsidRPr="00B803A7">
        <w:rPr>
          <w:rStyle w:val="CommentReference"/>
        </w:rPr>
        <w:commentReference w:id="3"/>
      </w:r>
      <w:r w:rsidR="00444BDA" w:rsidRPr="00B803A7">
        <w:t>%.</w:t>
      </w:r>
    </w:p>
    <w:p w14:paraId="387A18D3" w14:textId="77777777" w:rsidR="00444BDA" w:rsidRDefault="00444BDA" w:rsidP="005D1FAF">
      <w:pPr>
        <w:spacing w:after="0"/>
        <w:jc w:val="both"/>
      </w:pPr>
    </w:p>
    <w:p w14:paraId="3FF89650" w14:textId="2BF7316D" w:rsidR="005A679C" w:rsidRDefault="001E5ECF" w:rsidP="005D1FAF">
      <w:pPr>
        <w:jc w:val="both"/>
      </w:pPr>
      <w:r w:rsidRPr="001E5ECF">
        <w:rPr>
          <w:b/>
        </w:rPr>
        <w:t>Variables in the Model</w:t>
      </w:r>
      <w:r>
        <w:rPr>
          <w:b/>
        </w:rPr>
        <w:t>.</w:t>
      </w:r>
    </w:p>
    <w:p w14:paraId="41740D03" w14:textId="65412DF1" w:rsidR="008503BD" w:rsidRDefault="00FE32BD" w:rsidP="005D1FAF">
      <w:pPr>
        <w:jc w:val="both"/>
      </w:pPr>
      <w:r>
        <w:t>The variables used in the model for</w:t>
      </w:r>
      <w:r w:rsidR="002862A6">
        <w:t xml:space="preserve"> Blue</w:t>
      </w:r>
      <w:r>
        <w:t xml:space="preserve"> </w:t>
      </w:r>
      <w:r w:rsidRPr="0040724F">
        <w:t>Cross</w:t>
      </w:r>
      <w:r w:rsidR="002862A6">
        <w:t xml:space="preserve"> –</w:t>
      </w:r>
      <w:r w:rsidRPr="0040724F">
        <w:t xml:space="preserve"> Blue Shield health maintenance organization (HMO)</w:t>
      </w:r>
      <w:r>
        <w:t xml:space="preserve"> and their corresponding slope estimates in descending order of magnitude</w:t>
      </w:r>
      <w:r w:rsidR="005D1FAF">
        <w:t xml:space="preserve"> are shown in the table below.</w:t>
      </w:r>
    </w:p>
    <w:p w14:paraId="3EAB57AD" w14:textId="7AEC28D9" w:rsidR="005A679C" w:rsidRDefault="008503BD" w:rsidP="005D1FAF">
      <w:pPr>
        <w:jc w:val="center"/>
      </w:pPr>
      <w:r>
        <w:t xml:space="preserve">TABLE 1. Variables used in the model and their </w:t>
      </w:r>
      <w:r w:rsidR="005D1FAF">
        <w:t xml:space="preserve">absolute </w:t>
      </w:r>
      <w:r>
        <w:t>slope estimates</w:t>
      </w:r>
    </w:p>
    <w:tbl>
      <w:tblPr>
        <w:tblStyle w:val="GridTable1Light"/>
        <w:tblW w:w="8275" w:type="dxa"/>
        <w:jc w:val="center"/>
        <w:tblLook w:val="04A0" w:firstRow="1" w:lastRow="0" w:firstColumn="1" w:lastColumn="0" w:noHBand="0" w:noVBand="1"/>
      </w:tblPr>
      <w:tblGrid>
        <w:gridCol w:w="5040"/>
        <w:gridCol w:w="3235"/>
      </w:tblGrid>
      <w:tr w:rsidR="00880BCB" w:rsidRPr="00CF2232" w14:paraId="128E3438" w14:textId="77777777" w:rsidTr="00F96D93">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left w:val="single" w:sz="4" w:space="0" w:color="auto"/>
              <w:bottom w:val="single" w:sz="4" w:space="0" w:color="auto"/>
              <w:right w:val="single" w:sz="4" w:space="0" w:color="auto"/>
            </w:tcBorders>
            <w:vAlign w:val="center"/>
            <w:hideMark/>
          </w:tcPr>
          <w:p w14:paraId="4AE7D6E3" w14:textId="0CFFBC80" w:rsidR="00880BCB" w:rsidRPr="00CF2232" w:rsidRDefault="00880BCB" w:rsidP="005D1FAF">
            <w:pPr>
              <w:jc w:val="center"/>
              <w:rPr>
                <w:rFonts w:eastAsia="Times New Roman" w:cs="Times New Roman"/>
                <w:color w:val="000000"/>
              </w:rPr>
            </w:pPr>
            <w:r>
              <w:rPr>
                <w:rFonts w:eastAsia="Times New Roman" w:cs="Times New Roman"/>
                <w:color w:val="000000"/>
              </w:rPr>
              <w:t xml:space="preserve">VARIABLE </w:t>
            </w:r>
            <w:r w:rsidRPr="00CF2232">
              <w:rPr>
                <w:rFonts w:eastAsia="Times New Roman" w:cs="Times New Roman"/>
                <w:color w:val="000000"/>
              </w:rPr>
              <w:t>DESCRIPTION</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B2B98B5" w14:textId="56CFA86B" w:rsidR="00880BCB" w:rsidRPr="00CF2232" w:rsidRDefault="00880BCB" w:rsidP="005D1FA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ABSOLUTE SLOPE ESTIMATE</w:t>
            </w:r>
            <w:r>
              <w:rPr>
                <w:rFonts w:eastAsia="Times New Roman" w:cs="Times New Roman"/>
                <w:color w:val="000000"/>
              </w:rPr>
              <w:t xml:space="preserve"> (%)</w:t>
            </w:r>
          </w:p>
        </w:tc>
      </w:tr>
      <w:tr w:rsidR="00182490" w:rsidRPr="005D1FAF" w14:paraId="235C65C9" w14:textId="77777777" w:rsidTr="00F96D93">
        <w:trPr>
          <w:trHeight w:val="330"/>
          <w:jc w:val="center"/>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left w:val="single" w:sz="4" w:space="0" w:color="auto"/>
              <w:right w:val="single" w:sz="4" w:space="0" w:color="auto"/>
            </w:tcBorders>
            <w:vAlign w:val="center"/>
            <w:hideMark/>
          </w:tcPr>
          <w:p w14:paraId="6E1F2F63" w14:textId="31664BFE" w:rsidR="00182490" w:rsidRPr="00CF2232" w:rsidRDefault="00182490" w:rsidP="005D1FAF">
            <w:pPr>
              <w:jc w:val="center"/>
              <w:rPr>
                <w:rFonts w:eastAsia="Times New Roman" w:cs="Arial"/>
                <w:color w:val="000000"/>
              </w:rPr>
            </w:pPr>
            <w:r w:rsidRPr="00CF2232">
              <w:rPr>
                <w:rFonts w:eastAsia="Times New Roman" w:cs="Arial"/>
                <w:color w:val="000000"/>
              </w:rPr>
              <w:t>Affluent Young Families Customer segment</w:t>
            </w:r>
          </w:p>
        </w:tc>
        <w:tc>
          <w:tcPr>
            <w:tcW w:w="3235" w:type="dxa"/>
            <w:tcBorders>
              <w:top w:val="single" w:sz="4" w:space="0" w:color="auto"/>
              <w:left w:val="single" w:sz="4" w:space="0" w:color="auto"/>
              <w:right w:val="single" w:sz="4" w:space="0" w:color="auto"/>
            </w:tcBorders>
            <w:vAlign w:val="center"/>
            <w:hideMark/>
          </w:tcPr>
          <w:p w14:paraId="3D69EAAB" w14:textId="1238EC45"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6</w:t>
            </w:r>
            <w:r>
              <w:rPr>
                <w:rFonts w:eastAsia="Times New Roman" w:cs="Times New Roman"/>
                <w:color w:val="000000"/>
              </w:rPr>
              <w:t>.</w:t>
            </w:r>
            <w:r w:rsidRPr="00CF2232">
              <w:rPr>
                <w:rFonts w:eastAsia="Times New Roman" w:cs="Times New Roman"/>
                <w:color w:val="000000"/>
              </w:rPr>
              <w:t>73</w:t>
            </w:r>
          </w:p>
        </w:tc>
      </w:tr>
      <w:tr w:rsidR="00182490" w:rsidRPr="00CF2232" w14:paraId="147C7750" w14:textId="77777777" w:rsidTr="00F96D93">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2A160F63" w14:textId="4B643897" w:rsidR="00182490" w:rsidRPr="00CF2232" w:rsidRDefault="00182490" w:rsidP="005D1FAF">
            <w:pPr>
              <w:jc w:val="center"/>
              <w:rPr>
                <w:rFonts w:eastAsia="Times New Roman" w:cs="Arial"/>
                <w:color w:val="000000"/>
              </w:rPr>
            </w:pPr>
            <w:r w:rsidRPr="00CF2232">
              <w:rPr>
                <w:rFonts w:eastAsia="Times New Roman" w:cs="Arial"/>
                <w:color w:val="000000"/>
              </w:rPr>
              <w:t>Student in Apartments Customer segment</w:t>
            </w:r>
          </w:p>
        </w:tc>
        <w:tc>
          <w:tcPr>
            <w:tcW w:w="3235" w:type="dxa"/>
            <w:tcBorders>
              <w:left w:val="single" w:sz="4" w:space="0" w:color="auto"/>
              <w:right w:val="single" w:sz="4" w:space="0" w:color="auto"/>
            </w:tcBorders>
            <w:vAlign w:val="center"/>
            <w:hideMark/>
          </w:tcPr>
          <w:p w14:paraId="2B591B63" w14:textId="47F20845"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6</w:t>
            </w:r>
            <w:r>
              <w:rPr>
                <w:rFonts w:eastAsia="Times New Roman" w:cs="Times New Roman"/>
                <w:color w:val="000000"/>
              </w:rPr>
              <w:t>.</w:t>
            </w:r>
            <w:r w:rsidRPr="00CF2232">
              <w:rPr>
                <w:rFonts w:eastAsia="Times New Roman" w:cs="Times New Roman"/>
                <w:color w:val="000000"/>
              </w:rPr>
              <w:t>579</w:t>
            </w:r>
          </w:p>
        </w:tc>
      </w:tr>
      <w:tr w:rsidR="00182490" w:rsidRPr="005D1FAF" w14:paraId="6AE895FA" w14:textId="77777777" w:rsidTr="00F96D93">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6362D58C" w14:textId="34457048" w:rsidR="00182490" w:rsidRPr="00CF2232" w:rsidRDefault="00182490" w:rsidP="005D1FAF">
            <w:pPr>
              <w:jc w:val="center"/>
              <w:rPr>
                <w:rFonts w:eastAsia="Times New Roman" w:cs="Arial"/>
                <w:color w:val="000000"/>
              </w:rPr>
            </w:pPr>
            <w:proofErr w:type="spellStart"/>
            <w:r w:rsidRPr="00CF2232">
              <w:rPr>
                <w:rFonts w:eastAsia="Times New Roman" w:cs="Arial"/>
                <w:color w:val="000000"/>
              </w:rPr>
              <w:t>Dinki's</w:t>
            </w:r>
            <w:proofErr w:type="spellEnd"/>
            <w:r w:rsidRPr="00CF2232">
              <w:rPr>
                <w:rFonts w:eastAsia="Times New Roman" w:cs="Arial"/>
                <w:color w:val="000000"/>
              </w:rPr>
              <w:t xml:space="preserve"> (Double Income No Kids) Customer segment</w:t>
            </w:r>
          </w:p>
        </w:tc>
        <w:tc>
          <w:tcPr>
            <w:tcW w:w="3235" w:type="dxa"/>
            <w:tcBorders>
              <w:left w:val="single" w:sz="4" w:space="0" w:color="auto"/>
              <w:right w:val="single" w:sz="4" w:space="0" w:color="auto"/>
            </w:tcBorders>
            <w:vAlign w:val="center"/>
            <w:hideMark/>
          </w:tcPr>
          <w:p w14:paraId="61A75158" w14:textId="094786F9"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5</w:t>
            </w:r>
            <w:r>
              <w:rPr>
                <w:rFonts w:eastAsia="Times New Roman" w:cs="Times New Roman"/>
                <w:color w:val="000000"/>
              </w:rPr>
              <w:t>.</w:t>
            </w:r>
            <w:r w:rsidRPr="00CF2232">
              <w:rPr>
                <w:rFonts w:eastAsia="Times New Roman" w:cs="Times New Roman"/>
                <w:color w:val="000000"/>
              </w:rPr>
              <w:t>822</w:t>
            </w:r>
          </w:p>
        </w:tc>
      </w:tr>
      <w:tr w:rsidR="00182490" w:rsidRPr="00CF2232" w14:paraId="3B3843D9" w14:textId="77777777" w:rsidTr="00F96D93">
        <w:trPr>
          <w:trHeight w:val="51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47EDBB11" w14:textId="533BAECA" w:rsidR="00182490" w:rsidRPr="00CF2232" w:rsidRDefault="00182490" w:rsidP="005D1FAF">
            <w:pPr>
              <w:jc w:val="center"/>
              <w:rPr>
                <w:rFonts w:eastAsia="Times New Roman" w:cs="Arial"/>
                <w:color w:val="000000"/>
              </w:rPr>
            </w:pPr>
            <w:r w:rsidRPr="005D1FAF">
              <w:rPr>
                <w:rFonts w:eastAsia="Times New Roman" w:cs="Arial"/>
                <w:color w:val="000000"/>
              </w:rPr>
              <w:t>Mixed Rural</w:t>
            </w:r>
            <w:r w:rsidRPr="00CF2232">
              <w:rPr>
                <w:rFonts w:eastAsia="Times New Roman" w:cs="Arial"/>
                <w:color w:val="000000"/>
              </w:rPr>
              <w:t xml:space="preserve"> Customer segment</w:t>
            </w:r>
          </w:p>
        </w:tc>
        <w:tc>
          <w:tcPr>
            <w:tcW w:w="3235" w:type="dxa"/>
            <w:tcBorders>
              <w:left w:val="single" w:sz="4" w:space="0" w:color="auto"/>
              <w:right w:val="single" w:sz="4" w:space="0" w:color="auto"/>
            </w:tcBorders>
            <w:vAlign w:val="center"/>
            <w:hideMark/>
          </w:tcPr>
          <w:p w14:paraId="062E59D0" w14:textId="7AF7E314"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5</w:t>
            </w:r>
            <w:r>
              <w:rPr>
                <w:rFonts w:eastAsia="Times New Roman" w:cs="Times New Roman"/>
                <w:color w:val="000000"/>
              </w:rPr>
              <w:t>.</w:t>
            </w:r>
            <w:r w:rsidRPr="00CF2232">
              <w:rPr>
                <w:rFonts w:eastAsia="Times New Roman" w:cs="Times New Roman"/>
                <w:color w:val="000000"/>
              </w:rPr>
              <w:t>233</w:t>
            </w:r>
          </w:p>
        </w:tc>
      </w:tr>
      <w:tr w:rsidR="00182490" w:rsidRPr="005D1FAF" w14:paraId="02F853B9" w14:textId="77777777" w:rsidTr="00F96D93">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3CE011A8" w14:textId="1EE15865" w:rsidR="00182490" w:rsidRPr="00CF2232" w:rsidRDefault="00182490" w:rsidP="005D1FAF">
            <w:pPr>
              <w:jc w:val="center"/>
              <w:rPr>
                <w:rFonts w:eastAsia="Times New Roman" w:cs="Arial"/>
                <w:color w:val="000000"/>
              </w:rPr>
            </w:pPr>
            <w:r w:rsidRPr="00CF2232">
              <w:rPr>
                <w:rFonts w:eastAsia="Times New Roman" w:cs="Arial"/>
                <w:color w:val="000000"/>
              </w:rPr>
              <w:t>Large Family Farms Customer segment</w:t>
            </w:r>
          </w:p>
        </w:tc>
        <w:tc>
          <w:tcPr>
            <w:tcW w:w="3235" w:type="dxa"/>
            <w:tcBorders>
              <w:left w:val="single" w:sz="4" w:space="0" w:color="auto"/>
              <w:right w:val="single" w:sz="4" w:space="0" w:color="auto"/>
            </w:tcBorders>
            <w:vAlign w:val="center"/>
            <w:hideMark/>
          </w:tcPr>
          <w:p w14:paraId="7B122A93" w14:textId="41B84A67"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3</w:t>
            </w:r>
            <w:r>
              <w:rPr>
                <w:rFonts w:eastAsia="Times New Roman" w:cs="Times New Roman"/>
                <w:color w:val="000000"/>
              </w:rPr>
              <w:t>.</w:t>
            </w:r>
            <w:r w:rsidRPr="00CF2232">
              <w:rPr>
                <w:rFonts w:eastAsia="Times New Roman" w:cs="Times New Roman"/>
                <w:color w:val="000000"/>
              </w:rPr>
              <w:t>72</w:t>
            </w:r>
          </w:p>
        </w:tc>
      </w:tr>
      <w:tr w:rsidR="00182490" w:rsidRPr="00CF2232" w14:paraId="046212CA" w14:textId="77777777" w:rsidTr="00F96D93">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11EA5D8F" w14:textId="5C6107B4" w:rsidR="00182490" w:rsidRPr="00CF2232" w:rsidRDefault="00182490" w:rsidP="005D1FAF">
            <w:pPr>
              <w:jc w:val="center"/>
              <w:rPr>
                <w:rFonts w:eastAsia="Times New Roman" w:cs="Times New Roman"/>
                <w:color w:val="000000"/>
              </w:rPr>
            </w:pPr>
            <w:r>
              <w:rPr>
                <w:rFonts w:eastAsia="Times New Roman" w:cs="Times New Roman"/>
                <w:color w:val="000000"/>
              </w:rPr>
              <w:t>N</w:t>
            </w:r>
            <w:r w:rsidRPr="00CF2232">
              <w:rPr>
                <w:rFonts w:eastAsia="Times New Roman" w:cs="Times New Roman"/>
                <w:color w:val="000000"/>
              </w:rPr>
              <w:t>umber of private third party insurance policies</w:t>
            </w:r>
          </w:p>
        </w:tc>
        <w:tc>
          <w:tcPr>
            <w:tcW w:w="3235" w:type="dxa"/>
            <w:tcBorders>
              <w:left w:val="single" w:sz="4" w:space="0" w:color="auto"/>
              <w:right w:val="single" w:sz="4" w:space="0" w:color="auto"/>
            </w:tcBorders>
            <w:vAlign w:val="center"/>
            <w:hideMark/>
          </w:tcPr>
          <w:p w14:paraId="6713F9C6" w14:textId="07F438B8"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1</w:t>
            </w:r>
            <w:r>
              <w:rPr>
                <w:rFonts w:eastAsia="Times New Roman" w:cs="Times New Roman"/>
                <w:color w:val="000000"/>
              </w:rPr>
              <w:t>.</w:t>
            </w:r>
            <w:r w:rsidRPr="00CF2232">
              <w:rPr>
                <w:rFonts w:eastAsia="Times New Roman" w:cs="Times New Roman"/>
                <w:color w:val="000000"/>
              </w:rPr>
              <w:t>953</w:t>
            </w:r>
          </w:p>
        </w:tc>
      </w:tr>
      <w:tr w:rsidR="00182490" w:rsidRPr="005D1FAF" w14:paraId="5E0EC631" w14:textId="77777777" w:rsidTr="00F96D93">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1E070493" w14:textId="47667604" w:rsidR="00182490" w:rsidRPr="00CF2232" w:rsidRDefault="00182490" w:rsidP="005D1FAF">
            <w:pPr>
              <w:jc w:val="center"/>
              <w:rPr>
                <w:rFonts w:eastAsia="Times New Roman" w:cs="Arial"/>
                <w:color w:val="000000"/>
              </w:rPr>
            </w:pPr>
            <w:r w:rsidRPr="00CF2232">
              <w:rPr>
                <w:rFonts w:eastAsia="Times New Roman" w:cs="Arial"/>
                <w:color w:val="000000"/>
              </w:rPr>
              <w:t>Average age</w:t>
            </w:r>
          </w:p>
        </w:tc>
        <w:tc>
          <w:tcPr>
            <w:tcW w:w="3235" w:type="dxa"/>
            <w:tcBorders>
              <w:left w:val="single" w:sz="4" w:space="0" w:color="auto"/>
              <w:right w:val="single" w:sz="4" w:space="0" w:color="auto"/>
            </w:tcBorders>
            <w:vAlign w:val="center"/>
            <w:hideMark/>
          </w:tcPr>
          <w:p w14:paraId="0E473D7E" w14:textId="45FA4FB0"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w:t>
            </w:r>
            <w:r w:rsidRPr="00CF2232">
              <w:rPr>
                <w:rFonts w:eastAsia="Times New Roman" w:cs="Times New Roman"/>
                <w:color w:val="000000"/>
              </w:rPr>
              <w:t>962</w:t>
            </w:r>
          </w:p>
        </w:tc>
      </w:tr>
      <w:tr w:rsidR="00182490" w:rsidRPr="00CF2232" w14:paraId="7F856E01" w14:textId="77777777" w:rsidTr="00F96D93">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6CC50588" w14:textId="2D77F217" w:rsidR="00182490" w:rsidRPr="00CF2232" w:rsidRDefault="00182490" w:rsidP="005D1FAF">
            <w:pPr>
              <w:jc w:val="center"/>
              <w:rPr>
                <w:rFonts w:eastAsia="Times New Roman" w:cs="Times New Roman"/>
                <w:color w:val="000000"/>
              </w:rPr>
            </w:pPr>
            <w:r>
              <w:rPr>
                <w:rFonts w:eastAsia="Times New Roman" w:cs="Times New Roman"/>
                <w:color w:val="000000"/>
              </w:rPr>
              <w:t>P</w:t>
            </w:r>
            <w:r w:rsidRPr="00CF2232">
              <w:rPr>
                <w:rFonts w:eastAsia="Times New Roman" w:cs="Times New Roman"/>
                <w:color w:val="000000"/>
              </w:rPr>
              <w:t>ercent of people belonging to Social Class B1</w:t>
            </w:r>
          </w:p>
        </w:tc>
        <w:tc>
          <w:tcPr>
            <w:tcW w:w="3235" w:type="dxa"/>
            <w:tcBorders>
              <w:left w:val="single" w:sz="4" w:space="0" w:color="auto"/>
              <w:right w:val="single" w:sz="4" w:space="0" w:color="auto"/>
            </w:tcBorders>
            <w:vAlign w:val="center"/>
            <w:hideMark/>
          </w:tcPr>
          <w:p w14:paraId="5D72286B" w14:textId="789BECE5"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w:t>
            </w:r>
            <w:r w:rsidRPr="00CF2232">
              <w:rPr>
                <w:rFonts w:eastAsia="Times New Roman" w:cs="Times New Roman"/>
                <w:color w:val="000000"/>
              </w:rPr>
              <w:t>045832</w:t>
            </w:r>
          </w:p>
        </w:tc>
      </w:tr>
      <w:tr w:rsidR="00182490" w:rsidRPr="005D1FAF" w14:paraId="2C217F4D" w14:textId="77777777" w:rsidTr="00F96D93">
        <w:trPr>
          <w:trHeight w:val="341"/>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bottom w:val="single" w:sz="4" w:space="0" w:color="auto"/>
              <w:right w:val="single" w:sz="4" w:space="0" w:color="auto"/>
            </w:tcBorders>
            <w:vAlign w:val="center"/>
            <w:hideMark/>
          </w:tcPr>
          <w:p w14:paraId="1541E71D" w14:textId="291C397A" w:rsidR="00182490" w:rsidRPr="00CF2232" w:rsidRDefault="00182490" w:rsidP="005D1FAF">
            <w:pPr>
              <w:jc w:val="center"/>
              <w:rPr>
                <w:rFonts w:eastAsia="Times New Roman" w:cs="Times New Roman"/>
                <w:color w:val="000000"/>
              </w:rPr>
            </w:pPr>
            <w:r>
              <w:rPr>
                <w:rFonts w:eastAsia="Times New Roman" w:cs="Times New Roman"/>
                <w:color w:val="000000"/>
              </w:rPr>
              <w:t>P</w:t>
            </w:r>
            <w:r w:rsidRPr="00CF2232">
              <w:rPr>
                <w:rFonts w:eastAsia="Times New Roman" w:cs="Times New Roman"/>
                <w:color w:val="000000"/>
              </w:rPr>
              <w:t>ercent of Singles</w:t>
            </w:r>
          </w:p>
        </w:tc>
        <w:tc>
          <w:tcPr>
            <w:tcW w:w="3235" w:type="dxa"/>
            <w:tcBorders>
              <w:left w:val="single" w:sz="4" w:space="0" w:color="auto"/>
              <w:bottom w:val="single" w:sz="4" w:space="0" w:color="auto"/>
              <w:right w:val="single" w:sz="4" w:space="0" w:color="auto"/>
            </w:tcBorders>
            <w:vAlign w:val="center"/>
            <w:hideMark/>
          </w:tcPr>
          <w:p w14:paraId="1C4C09D2" w14:textId="636DFF49" w:rsidR="00182490" w:rsidRPr="00CF2232" w:rsidRDefault="00182490" w:rsidP="005D1FA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w:t>
            </w:r>
            <w:r w:rsidRPr="00CF2232">
              <w:rPr>
                <w:rFonts w:eastAsia="Times New Roman" w:cs="Times New Roman"/>
                <w:color w:val="000000"/>
              </w:rPr>
              <w:t>00087</w:t>
            </w:r>
          </w:p>
        </w:tc>
      </w:tr>
    </w:tbl>
    <w:p w14:paraId="538F0F33" w14:textId="77777777" w:rsidR="000B52DE" w:rsidRDefault="000B52DE" w:rsidP="005D1FAF">
      <w:pPr>
        <w:jc w:val="both"/>
      </w:pPr>
    </w:p>
    <w:p w14:paraId="14A80323" w14:textId="168A47E7" w:rsidR="00FE32BD" w:rsidRDefault="000B52DE" w:rsidP="005D1FAF">
      <w:pPr>
        <w:jc w:val="both"/>
      </w:pPr>
      <w:r w:rsidRPr="00436220">
        <w:rPr>
          <w:b/>
        </w:rPr>
        <w:lastRenderedPageBreak/>
        <w:t>Variables in the Model</w:t>
      </w:r>
      <w:r w:rsidR="00436220" w:rsidRPr="00436220">
        <w:rPr>
          <w:b/>
        </w:rPr>
        <w:t xml:space="preserve"> and Impact</w:t>
      </w:r>
      <w:r w:rsidR="004B29D0">
        <w:rPr>
          <w:b/>
        </w:rPr>
        <w:t xml:space="preserve">.  </w:t>
      </w:r>
      <w:r w:rsidR="00FE32BD">
        <w:t xml:space="preserve">The variables used in the model for </w:t>
      </w:r>
      <w:r w:rsidR="005D1FAF">
        <w:t xml:space="preserve">Blue </w:t>
      </w:r>
      <w:r w:rsidR="00FE32BD" w:rsidRPr="0040724F">
        <w:t>Cross</w:t>
      </w:r>
      <w:r w:rsidR="005D1FAF">
        <w:t xml:space="preserve"> –</w:t>
      </w:r>
      <w:r w:rsidR="00FE32BD" w:rsidRPr="0040724F">
        <w:t xml:space="preserve"> Blue Shield health maintenance organization (HMO)</w:t>
      </w:r>
      <w:r w:rsidR="00FE32BD">
        <w:t xml:space="preserve"> and their corresponding</w:t>
      </w:r>
      <w:r w:rsidR="005D1FAF">
        <w:t xml:space="preserve"> absolute</w:t>
      </w:r>
      <w:r w:rsidR="00FE32BD">
        <w:t xml:space="preserve"> slope estimates in descending order of magnitude a</w:t>
      </w:r>
      <w:r w:rsidR="005D1FAF">
        <w:t xml:space="preserve">re shown in the table </w:t>
      </w:r>
      <w:r w:rsidR="00880BCB">
        <w:t>2 below</w:t>
      </w:r>
      <w:r w:rsidR="005D1FAF">
        <w:t>.</w:t>
      </w:r>
    </w:p>
    <w:p w14:paraId="54D6C687" w14:textId="5394DCF4" w:rsidR="00880BCB" w:rsidRDefault="00880BCB" w:rsidP="00880BCB">
      <w:pPr>
        <w:jc w:val="center"/>
      </w:pPr>
      <w:r>
        <w:t xml:space="preserve"> TABLE 2. Variables used in the model and their absolute slope estimates</w:t>
      </w:r>
    </w:p>
    <w:tbl>
      <w:tblPr>
        <w:tblStyle w:val="GridTable1Light"/>
        <w:tblW w:w="8275" w:type="dxa"/>
        <w:jc w:val="center"/>
        <w:tblLook w:val="04A0" w:firstRow="1" w:lastRow="0" w:firstColumn="1" w:lastColumn="0" w:noHBand="0" w:noVBand="1"/>
      </w:tblPr>
      <w:tblGrid>
        <w:gridCol w:w="5040"/>
        <w:gridCol w:w="3235"/>
      </w:tblGrid>
      <w:tr w:rsidR="00880BCB" w:rsidRPr="00CF2232" w14:paraId="1E6AB9B9" w14:textId="77777777" w:rsidTr="008644C4">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left w:val="single" w:sz="4" w:space="0" w:color="auto"/>
              <w:right w:val="single" w:sz="4" w:space="0" w:color="auto"/>
            </w:tcBorders>
            <w:vAlign w:val="center"/>
            <w:hideMark/>
          </w:tcPr>
          <w:p w14:paraId="458846C2" w14:textId="77777777" w:rsidR="00880BCB" w:rsidRPr="00CF2232" w:rsidRDefault="00880BCB" w:rsidP="00A55E53">
            <w:pPr>
              <w:jc w:val="center"/>
              <w:rPr>
                <w:rFonts w:eastAsia="Times New Roman" w:cs="Times New Roman"/>
                <w:color w:val="000000"/>
              </w:rPr>
            </w:pPr>
            <w:r>
              <w:rPr>
                <w:rFonts w:eastAsia="Times New Roman" w:cs="Times New Roman"/>
                <w:color w:val="000000"/>
              </w:rPr>
              <w:t xml:space="preserve">VARIABLE </w:t>
            </w:r>
            <w:r w:rsidRPr="00CF2232">
              <w:rPr>
                <w:rFonts w:eastAsia="Times New Roman" w:cs="Times New Roman"/>
                <w:color w:val="000000"/>
              </w:rPr>
              <w:t>DESCRIPTION</w:t>
            </w:r>
          </w:p>
        </w:tc>
        <w:tc>
          <w:tcPr>
            <w:tcW w:w="3235" w:type="dxa"/>
            <w:tcBorders>
              <w:top w:val="single" w:sz="4" w:space="0" w:color="auto"/>
              <w:left w:val="single" w:sz="4" w:space="0" w:color="auto"/>
              <w:right w:val="single" w:sz="4" w:space="0" w:color="auto"/>
            </w:tcBorders>
            <w:vAlign w:val="center"/>
            <w:hideMark/>
          </w:tcPr>
          <w:p w14:paraId="180F4F87" w14:textId="77777777" w:rsidR="00880BCB" w:rsidRPr="00CF2232" w:rsidRDefault="00880BCB" w:rsidP="00A55E5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ABSOLUTE SLOPE ESTIMATE</w:t>
            </w:r>
            <w:r>
              <w:rPr>
                <w:rFonts w:eastAsia="Times New Roman" w:cs="Times New Roman"/>
                <w:color w:val="000000"/>
              </w:rPr>
              <w:t xml:space="preserve"> (%)</w:t>
            </w:r>
          </w:p>
        </w:tc>
      </w:tr>
      <w:tr w:rsidR="00880BCB" w:rsidRPr="005D1FAF" w14:paraId="425A7CB1" w14:textId="77777777" w:rsidTr="008644C4">
        <w:trPr>
          <w:trHeight w:val="33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7F63B336" w14:textId="77777777" w:rsidR="00880BCB" w:rsidRPr="00CF2232" w:rsidRDefault="00880BCB" w:rsidP="00A55E53">
            <w:pPr>
              <w:jc w:val="center"/>
              <w:rPr>
                <w:rFonts w:eastAsia="Times New Roman" w:cs="Arial"/>
                <w:color w:val="000000"/>
              </w:rPr>
            </w:pPr>
            <w:r w:rsidRPr="00CF2232">
              <w:rPr>
                <w:rFonts w:eastAsia="Times New Roman" w:cs="Arial"/>
                <w:color w:val="000000"/>
              </w:rPr>
              <w:t>Affluent Young Families Customer segment</w:t>
            </w:r>
          </w:p>
        </w:tc>
        <w:tc>
          <w:tcPr>
            <w:tcW w:w="3235" w:type="dxa"/>
            <w:tcBorders>
              <w:left w:val="single" w:sz="4" w:space="0" w:color="auto"/>
              <w:right w:val="single" w:sz="4" w:space="0" w:color="auto"/>
            </w:tcBorders>
            <w:vAlign w:val="center"/>
            <w:hideMark/>
          </w:tcPr>
          <w:p w14:paraId="2EDF29FC"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6</w:t>
            </w:r>
            <w:r>
              <w:rPr>
                <w:rFonts w:eastAsia="Times New Roman" w:cs="Times New Roman"/>
                <w:color w:val="000000"/>
              </w:rPr>
              <w:t>.</w:t>
            </w:r>
            <w:r w:rsidRPr="00CF2232">
              <w:rPr>
                <w:rFonts w:eastAsia="Times New Roman" w:cs="Times New Roman"/>
                <w:color w:val="000000"/>
              </w:rPr>
              <w:t>73</w:t>
            </w:r>
          </w:p>
        </w:tc>
      </w:tr>
      <w:tr w:rsidR="00880BCB" w:rsidRPr="00CF2232" w14:paraId="78C0501F" w14:textId="77777777" w:rsidTr="008644C4">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246E6B78" w14:textId="77777777" w:rsidR="00880BCB" w:rsidRPr="00CF2232" w:rsidRDefault="00880BCB" w:rsidP="00A55E53">
            <w:pPr>
              <w:jc w:val="center"/>
              <w:rPr>
                <w:rFonts w:eastAsia="Times New Roman" w:cs="Arial"/>
                <w:color w:val="000000"/>
              </w:rPr>
            </w:pPr>
            <w:r w:rsidRPr="00CF2232">
              <w:rPr>
                <w:rFonts w:eastAsia="Times New Roman" w:cs="Arial"/>
                <w:color w:val="000000"/>
              </w:rPr>
              <w:t>Student in Apartments Customer segment</w:t>
            </w:r>
          </w:p>
        </w:tc>
        <w:tc>
          <w:tcPr>
            <w:tcW w:w="3235" w:type="dxa"/>
            <w:tcBorders>
              <w:left w:val="single" w:sz="4" w:space="0" w:color="auto"/>
              <w:right w:val="single" w:sz="4" w:space="0" w:color="auto"/>
            </w:tcBorders>
            <w:vAlign w:val="center"/>
            <w:hideMark/>
          </w:tcPr>
          <w:p w14:paraId="3B1D93EA"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6</w:t>
            </w:r>
            <w:r>
              <w:rPr>
                <w:rFonts w:eastAsia="Times New Roman" w:cs="Times New Roman"/>
                <w:color w:val="000000"/>
              </w:rPr>
              <w:t>.</w:t>
            </w:r>
            <w:r w:rsidRPr="00CF2232">
              <w:rPr>
                <w:rFonts w:eastAsia="Times New Roman" w:cs="Times New Roman"/>
                <w:color w:val="000000"/>
              </w:rPr>
              <w:t>579</w:t>
            </w:r>
          </w:p>
        </w:tc>
      </w:tr>
      <w:tr w:rsidR="00880BCB" w:rsidRPr="005D1FAF" w14:paraId="47E3080C" w14:textId="77777777" w:rsidTr="008644C4">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04CEA67B" w14:textId="77777777" w:rsidR="00880BCB" w:rsidRPr="00CF2232" w:rsidRDefault="00880BCB" w:rsidP="00A55E53">
            <w:pPr>
              <w:jc w:val="center"/>
              <w:rPr>
                <w:rFonts w:eastAsia="Times New Roman" w:cs="Arial"/>
                <w:color w:val="000000"/>
              </w:rPr>
            </w:pPr>
            <w:proofErr w:type="spellStart"/>
            <w:r w:rsidRPr="00CF2232">
              <w:rPr>
                <w:rFonts w:eastAsia="Times New Roman" w:cs="Arial"/>
                <w:color w:val="000000"/>
              </w:rPr>
              <w:t>Dinki's</w:t>
            </w:r>
            <w:proofErr w:type="spellEnd"/>
            <w:r w:rsidRPr="00CF2232">
              <w:rPr>
                <w:rFonts w:eastAsia="Times New Roman" w:cs="Arial"/>
                <w:color w:val="000000"/>
              </w:rPr>
              <w:t xml:space="preserve"> (Double Income No Kids) Customer segment</w:t>
            </w:r>
          </w:p>
        </w:tc>
        <w:tc>
          <w:tcPr>
            <w:tcW w:w="3235" w:type="dxa"/>
            <w:tcBorders>
              <w:left w:val="single" w:sz="4" w:space="0" w:color="auto"/>
              <w:right w:val="single" w:sz="4" w:space="0" w:color="auto"/>
            </w:tcBorders>
            <w:vAlign w:val="center"/>
            <w:hideMark/>
          </w:tcPr>
          <w:p w14:paraId="06D581D9"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5</w:t>
            </w:r>
            <w:r>
              <w:rPr>
                <w:rFonts w:eastAsia="Times New Roman" w:cs="Times New Roman"/>
                <w:color w:val="000000"/>
              </w:rPr>
              <w:t>.</w:t>
            </w:r>
            <w:r w:rsidRPr="00CF2232">
              <w:rPr>
                <w:rFonts w:eastAsia="Times New Roman" w:cs="Times New Roman"/>
                <w:color w:val="000000"/>
              </w:rPr>
              <w:t>822</w:t>
            </w:r>
          </w:p>
        </w:tc>
      </w:tr>
      <w:tr w:rsidR="00880BCB" w:rsidRPr="00CF2232" w14:paraId="229BEA41" w14:textId="77777777" w:rsidTr="008644C4">
        <w:trPr>
          <w:trHeight w:val="51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6BB88042" w14:textId="77777777" w:rsidR="00880BCB" w:rsidRPr="00CF2232" w:rsidRDefault="00880BCB" w:rsidP="00A55E53">
            <w:pPr>
              <w:jc w:val="center"/>
              <w:rPr>
                <w:rFonts w:eastAsia="Times New Roman" w:cs="Arial"/>
                <w:color w:val="000000"/>
              </w:rPr>
            </w:pPr>
            <w:r w:rsidRPr="005D1FAF">
              <w:rPr>
                <w:rFonts w:eastAsia="Times New Roman" w:cs="Arial"/>
                <w:color w:val="000000"/>
              </w:rPr>
              <w:t>Mixed Rural</w:t>
            </w:r>
            <w:r w:rsidRPr="00CF2232">
              <w:rPr>
                <w:rFonts w:eastAsia="Times New Roman" w:cs="Arial"/>
                <w:color w:val="000000"/>
              </w:rPr>
              <w:t xml:space="preserve"> Customer segment</w:t>
            </w:r>
          </w:p>
        </w:tc>
        <w:tc>
          <w:tcPr>
            <w:tcW w:w="3235" w:type="dxa"/>
            <w:tcBorders>
              <w:left w:val="single" w:sz="4" w:space="0" w:color="auto"/>
              <w:right w:val="single" w:sz="4" w:space="0" w:color="auto"/>
            </w:tcBorders>
            <w:vAlign w:val="center"/>
            <w:hideMark/>
          </w:tcPr>
          <w:p w14:paraId="201D6442"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5</w:t>
            </w:r>
            <w:r>
              <w:rPr>
                <w:rFonts w:eastAsia="Times New Roman" w:cs="Times New Roman"/>
                <w:color w:val="000000"/>
              </w:rPr>
              <w:t>.</w:t>
            </w:r>
            <w:r w:rsidRPr="00CF2232">
              <w:rPr>
                <w:rFonts w:eastAsia="Times New Roman" w:cs="Times New Roman"/>
                <w:color w:val="000000"/>
              </w:rPr>
              <w:t>233</w:t>
            </w:r>
          </w:p>
        </w:tc>
      </w:tr>
      <w:tr w:rsidR="00880BCB" w:rsidRPr="005D1FAF" w14:paraId="1F0271A0" w14:textId="77777777" w:rsidTr="008644C4">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527694E2" w14:textId="77777777" w:rsidR="00880BCB" w:rsidRPr="00CF2232" w:rsidRDefault="00880BCB" w:rsidP="00A55E53">
            <w:pPr>
              <w:jc w:val="center"/>
              <w:rPr>
                <w:rFonts w:eastAsia="Times New Roman" w:cs="Arial"/>
                <w:color w:val="000000"/>
              </w:rPr>
            </w:pPr>
            <w:r w:rsidRPr="00CF2232">
              <w:rPr>
                <w:rFonts w:eastAsia="Times New Roman" w:cs="Arial"/>
                <w:color w:val="000000"/>
              </w:rPr>
              <w:t>Large Family Farms Customer segment</w:t>
            </w:r>
          </w:p>
        </w:tc>
        <w:tc>
          <w:tcPr>
            <w:tcW w:w="3235" w:type="dxa"/>
            <w:tcBorders>
              <w:left w:val="single" w:sz="4" w:space="0" w:color="auto"/>
              <w:right w:val="single" w:sz="4" w:space="0" w:color="auto"/>
            </w:tcBorders>
            <w:vAlign w:val="center"/>
            <w:hideMark/>
          </w:tcPr>
          <w:p w14:paraId="2A3A70B4"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3</w:t>
            </w:r>
            <w:r>
              <w:rPr>
                <w:rFonts w:eastAsia="Times New Roman" w:cs="Times New Roman"/>
                <w:color w:val="000000"/>
              </w:rPr>
              <w:t>.</w:t>
            </w:r>
            <w:r w:rsidRPr="00CF2232">
              <w:rPr>
                <w:rFonts w:eastAsia="Times New Roman" w:cs="Times New Roman"/>
                <w:color w:val="000000"/>
              </w:rPr>
              <w:t>72</w:t>
            </w:r>
          </w:p>
        </w:tc>
      </w:tr>
      <w:tr w:rsidR="00880BCB" w:rsidRPr="00CF2232" w14:paraId="4E53441A" w14:textId="77777777" w:rsidTr="008644C4">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3BCDBE7F" w14:textId="7203023C" w:rsidR="00880BCB" w:rsidRPr="00CF2232" w:rsidRDefault="004A3052" w:rsidP="00A55E53">
            <w:pPr>
              <w:jc w:val="center"/>
              <w:rPr>
                <w:rFonts w:eastAsia="Times New Roman" w:cs="Times New Roman"/>
                <w:color w:val="000000"/>
              </w:rPr>
            </w:pPr>
            <w:r>
              <w:rPr>
                <w:rFonts w:eastAsia="Times New Roman" w:cs="Times New Roman"/>
                <w:color w:val="000000"/>
              </w:rPr>
              <w:t>N</w:t>
            </w:r>
            <w:r w:rsidR="00880BCB" w:rsidRPr="00CF2232">
              <w:rPr>
                <w:rFonts w:eastAsia="Times New Roman" w:cs="Times New Roman"/>
                <w:color w:val="000000"/>
              </w:rPr>
              <w:t>umber of private third party insurance policies</w:t>
            </w:r>
          </w:p>
        </w:tc>
        <w:tc>
          <w:tcPr>
            <w:tcW w:w="3235" w:type="dxa"/>
            <w:tcBorders>
              <w:left w:val="single" w:sz="4" w:space="0" w:color="auto"/>
              <w:right w:val="single" w:sz="4" w:space="0" w:color="auto"/>
            </w:tcBorders>
            <w:vAlign w:val="center"/>
            <w:hideMark/>
          </w:tcPr>
          <w:p w14:paraId="5F11F0E4"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F2232">
              <w:rPr>
                <w:rFonts w:eastAsia="Times New Roman" w:cs="Times New Roman"/>
                <w:color w:val="000000"/>
              </w:rPr>
              <w:t>1</w:t>
            </w:r>
            <w:r>
              <w:rPr>
                <w:rFonts w:eastAsia="Times New Roman" w:cs="Times New Roman"/>
                <w:color w:val="000000"/>
              </w:rPr>
              <w:t>.</w:t>
            </w:r>
            <w:r w:rsidRPr="00CF2232">
              <w:rPr>
                <w:rFonts w:eastAsia="Times New Roman" w:cs="Times New Roman"/>
                <w:color w:val="000000"/>
              </w:rPr>
              <w:t>953</w:t>
            </w:r>
          </w:p>
        </w:tc>
      </w:tr>
      <w:tr w:rsidR="00880BCB" w:rsidRPr="005D1FAF" w14:paraId="734C64C8" w14:textId="77777777" w:rsidTr="008644C4">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6B687B26" w14:textId="77777777" w:rsidR="00880BCB" w:rsidRPr="00CF2232" w:rsidRDefault="00880BCB" w:rsidP="00A55E53">
            <w:pPr>
              <w:jc w:val="center"/>
              <w:rPr>
                <w:rFonts w:eastAsia="Times New Roman" w:cs="Arial"/>
                <w:color w:val="000000"/>
              </w:rPr>
            </w:pPr>
            <w:r w:rsidRPr="00CF2232">
              <w:rPr>
                <w:rFonts w:eastAsia="Times New Roman" w:cs="Arial"/>
                <w:color w:val="000000"/>
              </w:rPr>
              <w:t>Average age</w:t>
            </w:r>
          </w:p>
        </w:tc>
        <w:tc>
          <w:tcPr>
            <w:tcW w:w="3235" w:type="dxa"/>
            <w:tcBorders>
              <w:left w:val="single" w:sz="4" w:space="0" w:color="auto"/>
              <w:right w:val="single" w:sz="4" w:space="0" w:color="auto"/>
            </w:tcBorders>
            <w:vAlign w:val="center"/>
            <w:hideMark/>
          </w:tcPr>
          <w:p w14:paraId="22495B9D"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w:t>
            </w:r>
            <w:r w:rsidRPr="00CF2232">
              <w:rPr>
                <w:rFonts w:eastAsia="Times New Roman" w:cs="Times New Roman"/>
                <w:color w:val="000000"/>
              </w:rPr>
              <w:t>962</w:t>
            </w:r>
          </w:p>
        </w:tc>
      </w:tr>
      <w:tr w:rsidR="00880BCB" w:rsidRPr="00CF2232" w14:paraId="1B99CCB6" w14:textId="77777777" w:rsidTr="008644C4">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right w:val="single" w:sz="4" w:space="0" w:color="auto"/>
            </w:tcBorders>
            <w:vAlign w:val="center"/>
            <w:hideMark/>
          </w:tcPr>
          <w:p w14:paraId="54C34930" w14:textId="6E30655E" w:rsidR="00880BCB" w:rsidRPr="00CF2232" w:rsidRDefault="004A3052" w:rsidP="00A55E53">
            <w:pPr>
              <w:jc w:val="center"/>
              <w:rPr>
                <w:rFonts w:eastAsia="Times New Roman" w:cs="Times New Roman"/>
                <w:color w:val="000000"/>
              </w:rPr>
            </w:pPr>
            <w:r>
              <w:rPr>
                <w:rFonts w:eastAsia="Times New Roman" w:cs="Times New Roman"/>
                <w:color w:val="000000"/>
              </w:rPr>
              <w:t>P</w:t>
            </w:r>
            <w:r w:rsidR="00880BCB" w:rsidRPr="00CF2232">
              <w:rPr>
                <w:rFonts w:eastAsia="Times New Roman" w:cs="Times New Roman"/>
                <w:color w:val="000000"/>
              </w:rPr>
              <w:t>ercent of people belonging to Social Class B1</w:t>
            </w:r>
          </w:p>
        </w:tc>
        <w:tc>
          <w:tcPr>
            <w:tcW w:w="3235" w:type="dxa"/>
            <w:tcBorders>
              <w:left w:val="single" w:sz="4" w:space="0" w:color="auto"/>
              <w:right w:val="single" w:sz="4" w:space="0" w:color="auto"/>
            </w:tcBorders>
            <w:vAlign w:val="center"/>
            <w:hideMark/>
          </w:tcPr>
          <w:p w14:paraId="62DB8C14"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w:t>
            </w:r>
            <w:r w:rsidRPr="00CF2232">
              <w:rPr>
                <w:rFonts w:eastAsia="Times New Roman" w:cs="Times New Roman"/>
                <w:color w:val="000000"/>
              </w:rPr>
              <w:t>045832</w:t>
            </w:r>
          </w:p>
        </w:tc>
      </w:tr>
      <w:tr w:rsidR="00880BCB" w:rsidRPr="005D1FAF" w14:paraId="0DD28D01" w14:textId="77777777" w:rsidTr="008644C4">
        <w:trPr>
          <w:trHeight w:val="350"/>
          <w:jc w:val="center"/>
        </w:trPr>
        <w:tc>
          <w:tcPr>
            <w:cnfStyle w:val="001000000000" w:firstRow="0" w:lastRow="0" w:firstColumn="1" w:lastColumn="0" w:oddVBand="0" w:evenVBand="0" w:oddHBand="0" w:evenHBand="0" w:firstRowFirstColumn="0" w:firstRowLastColumn="0" w:lastRowFirstColumn="0" w:lastRowLastColumn="0"/>
            <w:tcW w:w="5040" w:type="dxa"/>
            <w:tcBorders>
              <w:left w:val="single" w:sz="4" w:space="0" w:color="auto"/>
              <w:bottom w:val="single" w:sz="4" w:space="0" w:color="auto"/>
              <w:right w:val="single" w:sz="4" w:space="0" w:color="auto"/>
            </w:tcBorders>
            <w:vAlign w:val="center"/>
            <w:hideMark/>
          </w:tcPr>
          <w:p w14:paraId="764F15BD" w14:textId="0E5ECC24" w:rsidR="00880BCB" w:rsidRPr="00CF2232" w:rsidRDefault="004A3052" w:rsidP="00A55E53">
            <w:pPr>
              <w:jc w:val="center"/>
              <w:rPr>
                <w:rFonts w:eastAsia="Times New Roman" w:cs="Times New Roman"/>
                <w:color w:val="000000"/>
              </w:rPr>
            </w:pPr>
            <w:r>
              <w:rPr>
                <w:rFonts w:eastAsia="Times New Roman" w:cs="Times New Roman"/>
                <w:color w:val="000000"/>
              </w:rPr>
              <w:t>P</w:t>
            </w:r>
            <w:r w:rsidR="00880BCB" w:rsidRPr="00CF2232">
              <w:rPr>
                <w:rFonts w:eastAsia="Times New Roman" w:cs="Times New Roman"/>
                <w:color w:val="000000"/>
              </w:rPr>
              <w:t>ercent of Singles</w:t>
            </w:r>
          </w:p>
        </w:tc>
        <w:tc>
          <w:tcPr>
            <w:tcW w:w="3235" w:type="dxa"/>
            <w:tcBorders>
              <w:left w:val="single" w:sz="4" w:space="0" w:color="auto"/>
              <w:bottom w:val="single" w:sz="4" w:space="0" w:color="auto"/>
              <w:right w:val="single" w:sz="4" w:space="0" w:color="auto"/>
            </w:tcBorders>
            <w:vAlign w:val="center"/>
            <w:hideMark/>
          </w:tcPr>
          <w:p w14:paraId="5301F9A2" w14:textId="77777777" w:rsidR="00880BCB" w:rsidRPr="00CF2232" w:rsidRDefault="00880BCB" w:rsidP="00A55E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w:t>
            </w:r>
            <w:r w:rsidRPr="00CF2232">
              <w:rPr>
                <w:rFonts w:eastAsia="Times New Roman" w:cs="Times New Roman"/>
                <w:color w:val="000000"/>
              </w:rPr>
              <w:t>00087</w:t>
            </w:r>
          </w:p>
        </w:tc>
      </w:tr>
    </w:tbl>
    <w:p w14:paraId="0246209C" w14:textId="77777777" w:rsidR="004A3052" w:rsidRDefault="004A3052" w:rsidP="005D1FAF">
      <w:pPr>
        <w:jc w:val="both"/>
      </w:pPr>
    </w:p>
    <w:p w14:paraId="51F52B3B" w14:textId="57F710D8" w:rsidR="00880BCB" w:rsidRDefault="004A3052" w:rsidP="005D1FAF">
      <w:pPr>
        <w:jc w:val="both"/>
      </w:pPr>
      <w:r>
        <w:t xml:space="preserve">You can see that the slope for the </w:t>
      </w:r>
      <w:r w:rsidRPr="00CF2232">
        <w:rPr>
          <w:rFonts w:eastAsia="Times New Roman" w:cs="Arial"/>
          <w:color w:val="000000"/>
        </w:rPr>
        <w:t>Affluent Young Families Customer segment</w:t>
      </w:r>
      <w:r>
        <w:rPr>
          <w:rFonts w:eastAsia="Times New Roman" w:cs="Arial"/>
          <w:color w:val="000000"/>
        </w:rPr>
        <w:t xml:space="preserve"> is 6.73%, meaning that </w:t>
      </w:r>
      <w:r>
        <w:t xml:space="preserve">If the customer belonged to an affluent young family, then the probability of signing up increased by 6.73%. Similar interpretations can be drawn for variables belonging to </w:t>
      </w:r>
      <w:r w:rsidRPr="00CF2232">
        <w:rPr>
          <w:rFonts w:eastAsia="Times New Roman" w:cs="Arial"/>
          <w:color w:val="000000"/>
        </w:rPr>
        <w:t>Student in Apartments</w:t>
      </w:r>
      <w:r>
        <w:rPr>
          <w:rFonts w:eastAsia="Times New Roman" w:cs="Arial"/>
          <w:color w:val="000000"/>
        </w:rPr>
        <w:t xml:space="preserve">, </w:t>
      </w:r>
      <w:proofErr w:type="spellStart"/>
      <w:r w:rsidRPr="00CF2232">
        <w:rPr>
          <w:rFonts w:eastAsia="Times New Roman" w:cs="Arial"/>
          <w:color w:val="000000"/>
        </w:rPr>
        <w:t>Dinki's</w:t>
      </w:r>
      <w:proofErr w:type="spellEnd"/>
      <w:r w:rsidRPr="00CF2232">
        <w:rPr>
          <w:rFonts w:eastAsia="Times New Roman" w:cs="Arial"/>
          <w:color w:val="000000"/>
        </w:rPr>
        <w:t xml:space="preserve"> (Double Income No Kids)</w:t>
      </w:r>
      <w:r>
        <w:rPr>
          <w:rFonts w:eastAsia="Times New Roman" w:cs="Arial"/>
          <w:color w:val="000000"/>
        </w:rPr>
        <w:t xml:space="preserve">, </w:t>
      </w:r>
      <w:r w:rsidRPr="005D1FAF">
        <w:rPr>
          <w:rFonts w:eastAsia="Times New Roman" w:cs="Arial"/>
          <w:color w:val="000000"/>
        </w:rPr>
        <w:t>Mixed Rural</w:t>
      </w:r>
      <w:r>
        <w:rPr>
          <w:rFonts w:eastAsia="Times New Roman" w:cs="Arial"/>
          <w:color w:val="000000"/>
        </w:rPr>
        <w:t xml:space="preserve"> and </w:t>
      </w:r>
      <w:r w:rsidRPr="00CF2232">
        <w:rPr>
          <w:rFonts w:eastAsia="Times New Roman" w:cs="Arial"/>
          <w:color w:val="000000"/>
        </w:rPr>
        <w:t>Large Family Farms</w:t>
      </w:r>
      <w:r>
        <w:rPr>
          <w:rFonts w:eastAsia="Times New Roman" w:cs="Arial"/>
          <w:color w:val="000000"/>
        </w:rPr>
        <w:t xml:space="preserve"> customer segments. </w:t>
      </w:r>
      <w:r w:rsidR="00E457CF">
        <w:t xml:space="preserve">For the </w:t>
      </w:r>
      <w:r w:rsidR="00E457CF" w:rsidRPr="007973ED">
        <w:rPr>
          <w:rFonts w:ascii="Calibri" w:eastAsia="Times New Roman" w:hAnsi="Calibri" w:cs="Times New Roman"/>
          <w:color w:val="000000"/>
        </w:rPr>
        <w:t>number of private third party insurance policies</w:t>
      </w:r>
      <w:r w:rsidR="00E457CF">
        <w:rPr>
          <w:rFonts w:ascii="Calibri" w:eastAsia="Times New Roman" w:hAnsi="Calibri" w:cs="Times New Roman"/>
          <w:color w:val="000000"/>
        </w:rPr>
        <w:t xml:space="preserve"> </w:t>
      </w:r>
      <w:r w:rsidR="00E457CF">
        <w:t xml:space="preserve">the slope </w:t>
      </w:r>
      <w:proofErr w:type="gramStart"/>
      <w:r w:rsidR="00E457CF">
        <w:t>was  -</w:t>
      </w:r>
      <w:proofErr w:type="gramEnd"/>
      <w:r w:rsidR="00E457CF">
        <w:t xml:space="preserve">0.01953, meaning that for every dollar increase in the amount spent for the private third party insurance policies, probability of signing up decreased by 1.953%. Likewise, the impact of the Average Age variable can be understood. The slope for the </w:t>
      </w:r>
      <w:r w:rsidR="00E457CF" w:rsidRPr="007973ED">
        <w:rPr>
          <w:rFonts w:ascii="Calibri" w:eastAsia="Times New Roman" w:hAnsi="Calibri" w:cs="Times New Roman"/>
          <w:color w:val="000000"/>
        </w:rPr>
        <w:t xml:space="preserve">percent of people belonging to Social Class </w:t>
      </w:r>
      <w:r w:rsidR="00E457CF">
        <w:rPr>
          <w:rFonts w:ascii="Calibri" w:eastAsia="Times New Roman" w:hAnsi="Calibri" w:cs="Times New Roman"/>
          <w:color w:val="000000"/>
        </w:rPr>
        <w:t xml:space="preserve">B1 </w:t>
      </w:r>
      <w:r w:rsidR="00E457CF">
        <w:t>in the customer’s neighborhood was -</w:t>
      </w:r>
      <w:r w:rsidR="00E457CF" w:rsidRPr="007140AF">
        <w:t>0.00045832</w:t>
      </w:r>
      <w:r w:rsidR="00E457CF">
        <w:t xml:space="preserve">, meaning that for every additional </w:t>
      </w:r>
      <w:r w:rsidR="00E457CF" w:rsidRPr="007973ED">
        <w:rPr>
          <w:rFonts w:ascii="Calibri" w:eastAsia="Times New Roman" w:hAnsi="Calibri" w:cs="Times New Roman"/>
          <w:color w:val="000000"/>
        </w:rPr>
        <w:t>percent of people belonging to</w:t>
      </w:r>
      <w:r w:rsidR="00E457CF">
        <w:rPr>
          <w:rFonts w:ascii="Calibri" w:eastAsia="Times New Roman" w:hAnsi="Calibri" w:cs="Times New Roman"/>
          <w:color w:val="000000"/>
        </w:rPr>
        <w:t xml:space="preserve"> the</w:t>
      </w:r>
      <w:r w:rsidR="00E457CF" w:rsidRPr="007973ED">
        <w:rPr>
          <w:rFonts w:ascii="Calibri" w:eastAsia="Times New Roman" w:hAnsi="Calibri" w:cs="Times New Roman"/>
          <w:color w:val="000000"/>
        </w:rPr>
        <w:t xml:space="preserve"> Social Class B1</w:t>
      </w:r>
      <w:r w:rsidR="00E457CF">
        <w:rPr>
          <w:rFonts w:ascii="Calibri" w:eastAsia="Times New Roman" w:hAnsi="Calibri" w:cs="Times New Roman"/>
          <w:color w:val="000000"/>
        </w:rPr>
        <w:t xml:space="preserve"> </w:t>
      </w:r>
      <w:r w:rsidR="00E457CF">
        <w:t>in the customer’s neighborhood, the probability of signing up decreased by 0.045832%. The impact of the Percent of Singles variable can be comprehended in the same way.</w:t>
      </w:r>
    </w:p>
    <w:p w14:paraId="53945C53" w14:textId="77777777" w:rsidR="00FE32BD" w:rsidRDefault="00FE32BD" w:rsidP="004B0E28">
      <w:pPr>
        <w:spacing w:after="0"/>
        <w:jc w:val="both"/>
      </w:pPr>
    </w:p>
    <w:p w14:paraId="21112C10" w14:textId="77777777" w:rsidR="00E457CF" w:rsidRDefault="00E457CF" w:rsidP="004B0E28">
      <w:pPr>
        <w:spacing w:after="0"/>
        <w:jc w:val="both"/>
      </w:pPr>
    </w:p>
    <w:p w14:paraId="59622C67" w14:textId="77777777" w:rsidR="00E457CF" w:rsidRDefault="00E457CF" w:rsidP="004B0E28">
      <w:pPr>
        <w:spacing w:after="0"/>
        <w:jc w:val="both"/>
      </w:pPr>
    </w:p>
    <w:p w14:paraId="264E6328" w14:textId="77777777" w:rsidR="00E457CF" w:rsidRDefault="00E457CF" w:rsidP="004B0E28">
      <w:pPr>
        <w:spacing w:after="0"/>
        <w:jc w:val="both"/>
      </w:pPr>
    </w:p>
    <w:p w14:paraId="283EB30D" w14:textId="77777777" w:rsidR="00E457CF" w:rsidRDefault="00E457CF" w:rsidP="004B0E28">
      <w:pPr>
        <w:spacing w:after="0"/>
        <w:jc w:val="both"/>
      </w:pPr>
    </w:p>
    <w:p w14:paraId="0867B213" w14:textId="77777777" w:rsidR="00E457CF" w:rsidRDefault="00E457CF" w:rsidP="004B0E28">
      <w:pPr>
        <w:spacing w:after="0"/>
        <w:jc w:val="both"/>
      </w:pPr>
    </w:p>
    <w:p w14:paraId="0D2726CC" w14:textId="77777777" w:rsidR="00E457CF" w:rsidRDefault="00E457CF" w:rsidP="004B0E28">
      <w:pPr>
        <w:spacing w:after="0"/>
        <w:jc w:val="both"/>
      </w:pPr>
    </w:p>
    <w:p w14:paraId="320813D0" w14:textId="77777777" w:rsidR="00E457CF" w:rsidRDefault="00E457CF" w:rsidP="004B0E28">
      <w:pPr>
        <w:spacing w:after="0"/>
        <w:jc w:val="both"/>
      </w:pPr>
    </w:p>
    <w:p w14:paraId="7AECD2C6" w14:textId="77777777" w:rsidR="00E457CF" w:rsidRDefault="00E457CF" w:rsidP="004B0E28">
      <w:pPr>
        <w:spacing w:after="0"/>
        <w:jc w:val="both"/>
      </w:pPr>
    </w:p>
    <w:p w14:paraId="6A5EE951" w14:textId="77777777" w:rsidR="00E457CF" w:rsidRDefault="00E457CF" w:rsidP="004B0E28">
      <w:pPr>
        <w:spacing w:after="0"/>
        <w:jc w:val="both"/>
      </w:pPr>
    </w:p>
    <w:p w14:paraId="5629BE23" w14:textId="77777777" w:rsidR="00E457CF" w:rsidRDefault="00E457CF" w:rsidP="004B0E28">
      <w:pPr>
        <w:spacing w:after="0"/>
        <w:jc w:val="both"/>
      </w:pPr>
    </w:p>
    <w:p w14:paraId="1A702C45" w14:textId="77777777" w:rsidR="00E457CF" w:rsidRDefault="00E457CF" w:rsidP="004B0E28">
      <w:pPr>
        <w:spacing w:after="0"/>
        <w:jc w:val="both"/>
      </w:pPr>
    </w:p>
    <w:p w14:paraId="5C5F0797" w14:textId="77777777" w:rsidR="00E457CF" w:rsidRDefault="00E457CF" w:rsidP="004B0E28">
      <w:pPr>
        <w:spacing w:after="0"/>
        <w:jc w:val="both"/>
      </w:pPr>
    </w:p>
    <w:p w14:paraId="44B3125B" w14:textId="77777777" w:rsidR="00E457CF" w:rsidRDefault="00E457CF" w:rsidP="004B0E28">
      <w:pPr>
        <w:spacing w:after="0"/>
        <w:jc w:val="both"/>
      </w:pPr>
    </w:p>
    <w:p w14:paraId="24D4197B" w14:textId="77777777" w:rsidR="00E457CF" w:rsidRDefault="00E457CF" w:rsidP="004B0E28">
      <w:pPr>
        <w:spacing w:after="0"/>
        <w:jc w:val="both"/>
      </w:pPr>
    </w:p>
    <w:p w14:paraId="77E25727" w14:textId="77777777" w:rsidR="00E457CF" w:rsidRDefault="00E457CF" w:rsidP="004B0E28">
      <w:pPr>
        <w:spacing w:after="0"/>
        <w:jc w:val="both"/>
      </w:pPr>
    </w:p>
    <w:p w14:paraId="24D8AC2B" w14:textId="74918A6C" w:rsidR="00F70C5D" w:rsidRPr="004B0E28" w:rsidRDefault="00AD161E" w:rsidP="005D1FAF">
      <w:pPr>
        <w:jc w:val="both"/>
      </w:pPr>
      <w:r w:rsidRPr="00AD161E">
        <w:rPr>
          <w:b/>
        </w:rPr>
        <w:lastRenderedPageBreak/>
        <w:t>Gains Chart</w:t>
      </w:r>
      <w:r w:rsidR="00F87D09">
        <w:t xml:space="preserve">. The Gains Chart from the model is shown below.  The blue line labeled ‘Baseline’ shows the percent of </w:t>
      </w:r>
      <w:r w:rsidR="004B0E28">
        <w:t xml:space="preserve">Blue </w:t>
      </w:r>
      <w:r w:rsidR="00F87D09" w:rsidRPr="0040724F">
        <w:t>Cross</w:t>
      </w:r>
      <w:r w:rsidR="004B0E28">
        <w:t xml:space="preserve"> –</w:t>
      </w:r>
      <w:r w:rsidR="00F87D09" w:rsidRPr="0040724F">
        <w:t xml:space="preserve"> Blue Shield </w:t>
      </w:r>
      <w:r w:rsidR="00F87D09">
        <w:t>HMO’s sales if prospects were selected on a random basis.  That is, we would expect that a random selection of 10% of all prospects to contain 10% of sales; 20% of randomly selected prospects would account for 20% of sales, etc.</w:t>
      </w:r>
    </w:p>
    <w:p w14:paraId="18B8D4FB" w14:textId="5FE3C94A" w:rsidR="00E457CF" w:rsidRDefault="00F87D09" w:rsidP="00E457CF">
      <w:pPr>
        <w:jc w:val="both"/>
      </w:pPr>
      <w:r>
        <w:t xml:space="preserve">The line labeled as ‘Model’ shows analogous results if </w:t>
      </w:r>
      <w:r w:rsidR="004B0E28">
        <w:t>our</w:t>
      </w:r>
      <w:r>
        <w:t xml:space="preserve"> model is used to select prospects.  You can see that the top 10% of prospects account for 25% of all sales using the model.  The spot on the gains chart marked with an arrow shows the top 70% of prospects accounts for 91% of all sales using the model for</w:t>
      </w:r>
      <w:r w:rsidR="004B0E28">
        <w:t xml:space="preserve"> Blue</w:t>
      </w:r>
      <w:r>
        <w:t xml:space="preserve"> </w:t>
      </w:r>
      <w:r w:rsidRPr="0040724F">
        <w:t>Cross</w:t>
      </w:r>
      <w:r w:rsidR="004B0E28">
        <w:t xml:space="preserve"> –</w:t>
      </w:r>
      <w:r w:rsidRPr="0040724F">
        <w:t xml:space="preserve"> Blue Shield health maintenance organization (HMO)</w:t>
      </w:r>
      <w:r w:rsidR="00E457CF">
        <w:t xml:space="preserve"> for the alternative cut-point</w:t>
      </w:r>
      <w:r>
        <w:t>.</w:t>
      </w:r>
    </w:p>
    <w:p w14:paraId="11EDD0D2" w14:textId="40ADF56C" w:rsidR="00BB419A" w:rsidRDefault="0098136A" w:rsidP="00E457CF">
      <w:pPr>
        <w:jc w:val="center"/>
      </w:pPr>
      <w:r>
        <w:rPr>
          <w:noProof/>
        </w:rPr>
        <mc:AlternateContent>
          <mc:Choice Requires="wps">
            <w:drawing>
              <wp:anchor distT="0" distB="0" distL="114300" distR="114300" simplePos="0" relativeHeight="251660288" behindDoc="0" locked="0" layoutInCell="1" allowOverlap="1" wp14:anchorId="43003874" wp14:editId="7B208CA5">
                <wp:simplePos x="0" y="0"/>
                <wp:positionH relativeFrom="column">
                  <wp:posOffset>4051360</wp:posOffset>
                </wp:positionH>
                <wp:positionV relativeFrom="paragraph">
                  <wp:posOffset>463933</wp:posOffset>
                </wp:positionV>
                <wp:extent cx="114300" cy="266700"/>
                <wp:effectExtent l="0" t="0" r="57150" b="57150"/>
                <wp:wrapNone/>
                <wp:docPr id="5" name="Straight Arrow Connector 5"/>
                <wp:cNvGraphicFramePr/>
                <a:graphic xmlns:a="http://schemas.openxmlformats.org/drawingml/2006/main">
                  <a:graphicData uri="http://schemas.microsoft.com/office/word/2010/wordprocessingShape">
                    <wps:wsp>
                      <wps:cNvCnPr/>
                      <wps:spPr>
                        <a:xfrm>
                          <a:off x="0" y="0"/>
                          <a:ext cx="1143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7008D4" id="_x0000_t32" coordsize="21600,21600" o:spt="32" o:oned="t" path="m0,0l21600,21600e" filled="f">
                <v:path arrowok="t" fillok="f" o:connecttype="none"/>
                <o:lock v:ext="edit" shapetype="t"/>
              </v:shapetype>
              <v:shape id="Straight Arrow Connector 5" o:spid="_x0000_s1026" type="#_x0000_t32" style="position:absolute;margin-left:319pt;margin-top:36.55pt;width:9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" strokecolor="#4579b8 [3044]">
                <v:stroke endarrow="block"/>
              </v:shape>
            </w:pict>
          </mc:Fallback>
        </mc:AlternateContent>
      </w:r>
      <w:r w:rsidR="00E457CF">
        <w:rPr>
          <w:noProof/>
        </w:rPr>
        <w:drawing>
          <wp:anchor distT="0" distB="0" distL="114300" distR="114300" simplePos="0" relativeHeight="251658752" behindDoc="0" locked="0" layoutInCell="1" allowOverlap="1" wp14:anchorId="7F8C2678" wp14:editId="45BE4595">
            <wp:simplePos x="0" y="0"/>
            <wp:positionH relativeFrom="margin">
              <wp:posOffset>1420495</wp:posOffset>
            </wp:positionH>
            <wp:positionV relativeFrom="margin">
              <wp:posOffset>2059940</wp:posOffset>
            </wp:positionV>
            <wp:extent cx="4004310" cy="219011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7 at 2.40.35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4310" cy="2190115"/>
                    </a:xfrm>
                    <a:prstGeom prst="rect">
                      <a:avLst/>
                    </a:prstGeom>
                  </pic:spPr>
                </pic:pic>
              </a:graphicData>
            </a:graphic>
            <wp14:sizeRelH relativeFrom="margin">
              <wp14:pctWidth>0</wp14:pctWidth>
            </wp14:sizeRelH>
            <wp14:sizeRelV relativeFrom="margin">
              <wp14:pctHeight>0</wp14:pctHeight>
            </wp14:sizeRelV>
          </wp:anchor>
        </w:drawing>
      </w:r>
      <w:r w:rsidR="00E457CF">
        <w:t>FIGURE 1: Gain Chart</w:t>
      </w:r>
    </w:p>
    <w:p w14:paraId="652EFAF9" w14:textId="77777777" w:rsidR="00E457CF" w:rsidRPr="00E457CF" w:rsidRDefault="00E457CF" w:rsidP="00E457CF">
      <w:pPr>
        <w:jc w:val="center"/>
      </w:pPr>
    </w:p>
    <w:p w14:paraId="122D1EC2" w14:textId="6968AEFF" w:rsidR="00436220" w:rsidRPr="00F409D0" w:rsidRDefault="00FA33D4" w:rsidP="005D1FAF">
      <w:pPr>
        <w:jc w:val="both"/>
        <w:rPr>
          <w:b/>
        </w:rPr>
      </w:pPr>
      <w:r>
        <w:rPr>
          <w:b/>
        </w:rPr>
        <w:t>Alternative Cut-Point</w:t>
      </w:r>
    </w:p>
    <w:p w14:paraId="3F8A2012" w14:textId="37CB00A0" w:rsidR="00625C8D" w:rsidRDefault="00487AC2" w:rsidP="005D1FAF">
      <w:pPr>
        <w:jc w:val="both"/>
      </w:pPr>
      <w:r>
        <w:t>The lift is the difference between the baseline and model performance. It is the advantage of using the model</w:t>
      </w:r>
      <w:r w:rsidR="00E457CF">
        <w:t xml:space="preserve"> over random selection</w:t>
      </w:r>
      <w:r>
        <w:t xml:space="preserve">, meaning that it describes the increase in the number of responses for every depth in the mail file as opposed to mailing </w:t>
      </w:r>
      <w:r w:rsidR="00871279">
        <w:t>randomly. The table 2 below</w:t>
      </w:r>
      <w:r w:rsidR="0098136A">
        <w:t xml:space="preserve"> shows the lift </w:t>
      </w:r>
      <w:r w:rsidR="00871279">
        <w:t>for different baseline and model performances. Therefore, we choose the alternative cut point to be the point where the lift is maximized. For the data provided, the maximum lift of 30% is at 70% where the total sales is 91%.</w:t>
      </w:r>
      <w:r w:rsidR="00625C8D">
        <w:t xml:space="preserve"> </w:t>
      </w:r>
      <w:r w:rsidR="00625C8D" w:rsidRPr="00625C8D">
        <w:t>Therefore,</w:t>
      </w:r>
      <w:r w:rsidR="00F409D0" w:rsidRPr="00625C8D">
        <w:t xml:space="preserve"> if you only </w:t>
      </w:r>
      <w:r w:rsidR="00625C8D" w:rsidRPr="00625C8D">
        <w:t>mailed</w:t>
      </w:r>
      <w:r w:rsidR="00F409D0" w:rsidRPr="00625C8D">
        <w:t xml:space="preserve"> applicants below the 30% threshold of riskine</w:t>
      </w:r>
      <w:r w:rsidR="00DB37C4" w:rsidRPr="00625C8D">
        <w:t xml:space="preserve">ss your percent of total </w:t>
      </w:r>
      <w:r w:rsidR="00625C8D" w:rsidRPr="00625C8D">
        <w:t>sign ups</w:t>
      </w:r>
      <w:r w:rsidR="00F409D0" w:rsidRPr="00625C8D">
        <w:t xml:space="preserve"> would be reduced to </w:t>
      </w:r>
      <w:r w:rsidR="00625C8D" w:rsidRPr="00625C8D">
        <w:t>91</w:t>
      </w:r>
      <w:r w:rsidR="00F409D0" w:rsidRPr="00625C8D">
        <w:t xml:space="preserve">% of the total number of </w:t>
      </w:r>
      <w:r w:rsidR="00625C8D" w:rsidRPr="00625C8D">
        <w:t>sign ups</w:t>
      </w:r>
      <w:commentRangeStart w:id="4"/>
      <w:r w:rsidR="001A7756" w:rsidRPr="00625C8D">
        <w:rPr>
          <w:rStyle w:val="CommentReference"/>
          <w:sz w:val="22"/>
          <w:szCs w:val="22"/>
        </w:rPr>
        <w:commentReference w:id="5"/>
      </w:r>
      <w:commentRangeEnd w:id="4"/>
      <w:r w:rsidR="000B6EA2" w:rsidRPr="00625C8D">
        <w:rPr>
          <w:rStyle w:val="CommentReference"/>
          <w:sz w:val="22"/>
          <w:szCs w:val="22"/>
        </w:rPr>
        <w:commentReference w:id="4"/>
      </w:r>
      <w:r w:rsidR="00F409D0" w:rsidRPr="00625C8D">
        <w:t>.</w:t>
      </w:r>
    </w:p>
    <w:p w14:paraId="30056F99" w14:textId="7AED5328" w:rsidR="00C06A72" w:rsidRDefault="00E457CF" w:rsidP="004B0E28">
      <w:pPr>
        <w:jc w:val="center"/>
      </w:pPr>
      <w:r>
        <w:t>TABLE 3</w:t>
      </w:r>
      <w:r w:rsidR="00C06A72">
        <w:t>: Lift Analysis</w:t>
      </w:r>
    </w:p>
    <w:tbl>
      <w:tblPr>
        <w:tblW w:w="5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9"/>
        <w:gridCol w:w="2551"/>
        <w:gridCol w:w="824"/>
      </w:tblGrid>
      <w:tr w:rsidR="00C06A72" w:rsidRPr="00871279" w14:paraId="60DCF317" w14:textId="77777777" w:rsidTr="00057C2C">
        <w:trPr>
          <w:trHeight w:val="320"/>
          <w:jc w:val="center"/>
        </w:trPr>
        <w:tc>
          <w:tcPr>
            <w:tcW w:w="2569" w:type="dxa"/>
            <w:tcBorders>
              <w:top w:val="single" w:sz="4" w:space="0" w:color="auto"/>
              <w:left w:val="single" w:sz="4" w:space="0" w:color="auto"/>
              <w:bottom w:val="single" w:sz="4" w:space="0" w:color="auto"/>
            </w:tcBorders>
            <w:shd w:val="clear" w:color="auto" w:fill="auto"/>
            <w:noWrap/>
            <w:vAlign w:val="center"/>
            <w:hideMark/>
          </w:tcPr>
          <w:p w14:paraId="3E6CBE88" w14:textId="1D275381" w:rsidR="00871279" w:rsidRPr="00871279" w:rsidRDefault="00057C2C" w:rsidP="005D1FAF">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BASELINE PERFORMANCE</w:t>
            </w:r>
          </w:p>
        </w:tc>
        <w:tc>
          <w:tcPr>
            <w:tcW w:w="2551" w:type="dxa"/>
            <w:tcBorders>
              <w:top w:val="single" w:sz="4" w:space="0" w:color="auto"/>
              <w:bottom w:val="single" w:sz="4" w:space="0" w:color="auto"/>
            </w:tcBorders>
            <w:shd w:val="clear" w:color="auto" w:fill="auto"/>
            <w:noWrap/>
            <w:vAlign w:val="center"/>
            <w:hideMark/>
          </w:tcPr>
          <w:p w14:paraId="6CD64FDB" w14:textId="0E2748AF" w:rsidR="00871279" w:rsidRPr="00871279" w:rsidRDefault="00057C2C" w:rsidP="005D1FAF">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MODEL PERFORMANCE</w:t>
            </w:r>
          </w:p>
        </w:tc>
        <w:tc>
          <w:tcPr>
            <w:tcW w:w="824" w:type="dxa"/>
            <w:tcBorders>
              <w:top w:val="single" w:sz="4" w:space="0" w:color="auto"/>
              <w:bottom w:val="single" w:sz="4" w:space="0" w:color="auto"/>
              <w:right w:val="single" w:sz="4" w:space="0" w:color="auto"/>
            </w:tcBorders>
            <w:shd w:val="clear" w:color="auto" w:fill="auto"/>
            <w:noWrap/>
            <w:vAlign w:val="center"/>
            <w:hideMark/>
          </w:tcPr>
          <w:p w14:paraId="74C26656" w14:textId="154AAADB" w:rsidR="00871279" w:rsidRPr="00871279" w:rsidRDefault="00057C2C" w:rsidP="005D1FAF">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LIFT</w:t>
            </w:r>
          </w:p>
        </w:tc>
      </w:tr>
      <w:tr w:rsidR="00C06A72" w:rsidRPr="00871279" w14:paraId="46391D17" w14:textId="77777777" w:rsidTr="00057C2C">
        <w:trPr>
          <w:trHeight w:val="300"/>
          <w:jc w:val="center"/>
        </w:trPr>
        <w:tc>
          <w:tcPr>
            <w:tcW w:w="2569" w:type="dxa"/>
            <w:tcBorders>
              <w:top w:val="single" w:sz="4" w:space="0" w:color="auto"/>
            </w:tcBorders>
            <w:shd w:val="clear" w:color="auto" w:fill="auto"/>
            <w:noWrap/>
            <w:vAlign w:val="center"/>
            <w:hideMark/>
          </w:tcPr>
          <w:p w14:paraId="1766B152"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0%</w:t>
            </w:r>
          </w:p>
        </w:tc>
        <w:tc>
          <w:tcPr>
            <w:tcW w:w="2551" w:type="dxa"/>
            <w:tcBorders>
              <w:top w:val="single" w:sz="4" w:space="0" w:color="auto"/>
            </w:tcBorders>
            <w:shd w:val="clear" w:color="auto" w:fill="auto"/>
            <w:noWrap/>
            <w:vAlign w:val="center"/>
            <w:hideMark/>
          </w:tcPr>
          <w:p w14:paraId="59AD42D8"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0%</w:t>
            </w:r>
          </w:p>
        </w:tc>
        <w:tc>
          <w:tcPr>
            <w:tcW w:w="824" w:type="dxa"/>
            <w:tcBorders>
              <w:top w:val="single" w:sz="4" w:space="0" w:color="auto"/>
            </w:tcBorders>
            <w:shd w:val="clear" w:color="auto" w:fill="auto"/>
            <w:noWrap/>
            <w:vAlign w:val="center"/>
            <w:hideMark/>
          </w:tcPr>
          <w:p w14:paraId="66EA512D"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0%</w:t>
            </w:r>
          </w:p>
        </w:tc>
      </w:tr>
      <w:tr w:rsidR="00C06A72" w:rsidRPr="00871279" w14:paraId="66643998" w14:textId="77777777" w:rsidTr="00057C2C">
        <w:trPr>
          <w:trHeight w:val="300"/>
          <w:jc w:val="center"/>
        </w:trPr>
        <w:tc>
          <w:tcPr>
            <w:tcW w:w="2569" w:type="dxa"/>
            <w:shd w:val="clear" w:color="auto" w:fill="auto"/>
            <w:noWrap/>
            <w:vAlign w:val="center"/>
            <w:hideMark/>
          </w:tcPr>
          <w:p w14:paraId="181DCADB"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3%</w:t>
            </w:r>
          </w:p>
        </w:tc>
        <w:tc>
          <w:tcPr>
            <w:tcW w:w="2551" w:type="dxa"/>
            <w:shd w:val="clear" w:color="auto" w:fill="auto"/>
            <w:noWrap/>
            <w:vAlign w:val="center"/>
            <w:hideMark/>
          </w:tcPr>
          <w:p w14:paraId="49FC02AF"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10%</w:t>
            </w:r>
          </w:p>
        </w:tc>
        <w:tc>
          <w:tcPr>
            <w:tcW w:w="824" w:type="dxa"/>
            <w:shd w:val="clear" w:color="auto" w:fill="auto"/>
            <w:noWrap/>
            <w:vAlign w:val="center"/>
            <w:hideMark/>
          </w:tcPr>
          <w:p w14:paraId="63FFC638"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7%</w:t>
            </w:r>
          </w:p>
        </w:tc>
      </w:tr>
      <w:tr w:rsidR="00C06A72" w:rsidRPr="00871279" w14:paraId="2DB9E11F" w14:textId="77777777" w:rsidTr="00057C2C">
        <w:trPr>
          <w:trHeight w:val="300"/>
          <w:jc w:val="center"/>
        </w:trPr>
        <w:tc>
          <w:tcPr>
            <w:tcW w:w="2569" w:type="dxa"/>
            <w:shd w:val="clear" w:color="auto" w:fill="auto"/>
            <w:noWrap/>
            <w:vAlign w:val="center"/>
            <w:hideMark/>
          </w:tcPr>
          <w:p w14:paraId="2E026199"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8%</w:t>
            </w:r>
          </w:p>
        </w:tc>
        <w:tc>
          <w:tcPr>
            <w:tcW w:w="2551" w:type="dxa"/>
            <w:shd w:val="clear" w:color="auto" w:fill="auto"/>
            <w:noWrap/>
            <w:vAlign w:val="center"/>
            <w:hideMark/>
          </w:tcPr>
          <w:p w14:paraId="2C66FB35"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20%</w:t>
            </w:r>
          </w:p>
        </w:tc>
        <w:tc>
          <w:tcPr>
            <w:tcW w:w="824" w:type="dxa"/>
            <w:shd w:val="clear" w:color="auto" w:fill="auto"/>
            <w:noWrap/>
            <w:vAlign w:val="center"/>
            <w:hideMark/>
          </w:tcPr>
          <w:p w14:paraId="05BFE4D1"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12%</w:t>
            </w:r>
          </w:p>
        </w:tc>
      </w:tr>
      <w:tr w:rsidR="00C06A72" w:rsidRPr="00871279" w14:paraId="6E9DE3CB" w14:textId="77777777" w:rsidTr="00057C2C">
        <w:trPr>
          <w:trHeight w:val="300"/>
          <w:jc w:val="center"/>
        </w:trPr>
        <w:tc>
          <w:tcPr>
            <w:tcW w:w="2569" w:type="dxa"/>
            <w:shd w:val="clear" w:color="auto" w:fill="auto"/>
            <w:noWrap/>
            <w:vAlign w:val="center"/>
            <w:hideMark/>
          </w:tcPr>
          <w:p w14:paraId="4EFE28C5"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15%</w:t>
            </w:r>
          </w:p>
        </w:tc>
        <w:tc>
          <w:tcPr>
            <w:tcW w:w="2551" w:type="dxa"/>
            <w:shd w:val="clear" w:color="auto" w:fill="auto"/>
            <w:noWrap/>
            <w:vAlign w:val="center"/>
            <w:hideMark/>
          </w:tcPr>
          <w:p w14:paraId="076EE47D"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30%</w:t>
            </w:r>
          </w:p>
        </w:tc>
        <w:tc>
          <w:tcPr>
            <w:tcW w:w="824" w:type="dxa"/>
            <w:shd w:val="clear" w:color="auto" w:fill="auto"/>
            <w:noWrap/>
            <w:vAlign w:val="center"/>
            <w:hideMark/>
          </w:tcPr>
          <w:p w14:paraId="4440377F"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15%</w:t>
            </w:r>
          </w:p>
        </w:tc>
      </w:tr>
      <w:tr w:rsidR="00C06A72" w:rsidRPr="00871279" w14:paraId="48D14545" w14:textId="77777777" w:rsidTr="00057C2C">
        <w:trPr>
          <w:trHeight w:val="300"/>
          <w:jc w:val="center"/>
        </w:trPr>
        <w:tc>
          <w:tcPr>
            <w:tcW w:w="2569" w:type="dxa"/>
            <w:shd w:val="clear" w:color="auto" w:fill="auto"/>
            <w:noWrap/>
            <w:vAlign w:val="center"/>
            <w:hideMark/>
          </w:tcPr>
          <w:p w14:paraId="3A38C8B9"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20%</w:t>
            </w:r>
          </w:p>
        </w:tc>
        <w:tc>
          <w:tcPr>
            <w:tcW w:w="2551" w:type="dxa"/>
            <w:shd w:val="clear" w:color="auto" w:fill="auto"/>
            <w:noWrap/>
            <w:vAlign w:val="center"/>
            <w:hideMark/>
          </w:tcPr>
          <w:p w14:paraId="2F79434A"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40%</w:t>
            </w:r>
          </w:p>
        </w:tc>
        <w:tc>
          <w:tcPr>
            <w:tcW w:w="824" w:type="dxa"/>
            <w:shd w:val="clear" w:color="auto" w:fill="auto"/>
            <w:noWrap/>
            <w:vAlign w:val="center"/>
            <w:hideMark/>
          </w:tcPr>
          <w:p w14:paraId="5A173ECE"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21%</w:t>
            </w:r>
          </w:p>
        </w:tc>
      </w:tr>
      <w:tr w:rsidR="00C06A72" w:rsidRPr="00871279" w14:paraId="6ECA1D68" w14:textId="77777777" w:rsidTr="00057C2C">
        <w:trPr>
          <w:trHeight w:val="300"/>
          <w:jc w:val="center"/>
        </w:trPr>
        <w:tc>
          <w:tcPr>
            <w:tcW w:w="2569" w:type="dxa"/>
            <w:shd w:val="clear" w:color="auto" w:fill="auto"/>
            <w:noWrap/>
            <w:vAlign w:val="center"/>
            <w:hideMark/>
          </w:tcPr>
          <w:p w14:paraId="1F5B3924"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28%</w:t>
            </w:r>
          </w:p>
        </w:tc>
        <w:tc>
          <w:tcPr>
            <w:tcW w:w="2551" w:type="dxa"/>
            <w:shd w:val="clear" w:color="auto" w:fill="auto"/>
            <w:noWrap/>
            <w:vAlign w:val="center"/>
            <w:hideMark/>
          </w:tcPr>
          <w:p w14:paraId="09ABE216" w14:textId="75A7831F"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5</w:t>
            </w:r>
            <w:r w:rsidR="00625C8D">
              <w:rPr>
                <w:rFonts w:ascii="Calibri" w:eastAsia="Times New Roman" w:hAnsi="Calibri" w:cs="Times New Roman"/>
                <w:color w:val="000000"/>
              </w:rPr>
              <w:t>0</w:t>
            </w:r>
            <w:r w:rsidRPr="00871279">
              <w:rPr>
                <w:rFonts w:ascii="Calibri" w:eastAsia="Times New Roman" w:hAnsi="Calibri" w:cs="Times New Roman"/>
                <w:color w:val="000000"/>
              </w:rPr>
              <w:t>%</w:t>
            </w:r>
          </w:p>
        </w:tc>
        <w:tc>
          <w:tcPr>
            <w:tcW w:w="824" w:type="dxa"/>
            <w:shd w:val="clear" w:color="auto" w:fill="auto"/>
            <w:noWrap/>
            <w:vAlign w:val="center"/>
            <w:hideMark/>
          </w:tcPr>
          <w:p w14:paraId="220D2ED3"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22%</w:t>
            </w:r>
          </w:p>
        </w:tc>
      </w:tr>
      <w:tr w:rsidR="00C06A72" w:rsidRPr="00871279" w14:paraId="4025F937" w14:textId="77777777" w:rsidTr="00057C2C">
        <w:trPr>
          <w:trHeight w:val="300"/>
          <w:jc w:val="center"/>
        </w:trPr>
        <w:tc>
          <w:tcPr>
            <w:tcW w:w="2569" w:type="dxa"/>
            <w:shd w:val="clear" w:color="auto" w:fill="auto"/>
            <w:noWrap/>
            <w:vAlign w:val="center"/>
            <w:hideMark/>
          </w:tcPr>
          <w:p w14:paraId="5AD706EE"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34%</w:t>
            </w:r>
          </w:p>
        </w:tc>
        <w:tc>
          <w:tcPr>
            <w:tcW w:w="2551" w:type="dxa"/>
            <w:shd w:val="clear" w:color="auto" w:fill="auto"/>
            <w:noWrap/>
            <w:vAlign w:val="center"/>
            <w:hideMark/>
          </w:tcPr>
          <w:p w14:paraId="0631C4E3"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60%</w:t>
            </w:r>
          </w:p>
        </w:tc>
        <w:tc>
          <w:tcPr>
            <w:tcW w:w="824" w:type="dxa"/>
            <w:shd w:val="clear" w:color="auto" w:fill="auto"/>
            <w:noWrap/>
            <w:vAlign w:val="center"/>
            <w:hideMark/>
          </w:tcPr>
          <w:p w14:paraId="3E5AE592"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26%</w:t>
            </w:r>
          </w:p>
        </w:tc>
      </w:tr>
      <w:tr w:rsidR="00C06A72" w:rsidRPr="00871279" w14:paraId="61A72812" w14:textId="77777777" w:rsidTr="00057C2C">
        <w:trPr>
          <w:trHeight w:val="300"/>
          <w:jc w:val="center"/>
        </w:trPr>
        <w:tc>
          <w:tcPr>
            <w:tcW w:w="2569" w:type="dxa"/>
            <w:shd w:val="clear" w:color="auto" w:fill="FBD4B4" w:themeFill="accent6" w:themeFillTint="66"/>
            <w:noWrap/>
            <w:vAlign w:val="center"/>
            <w:hideMark/>
          </w:tcPr>
          <w:p w14:paraId="0BD69165" w14:textId="77777777" w:rsidR="00871279" w:rsidRPr="00871279" w:rsidRDefault="00871279" w:rsidP="005D1FAF">
            <w:pPr>
              <w:spacing w:after="0" w:line="240" w:lineRule="auto"/>
              <w:jc w:val="both"/>
              <w:rPr>
                <w:rFonts w:ascii="Calibri" w:eastAsia="Times New Roman" w:hAnsi="Calibri" w:cs="Times New Roman"/>
                <w:b/>
                <w:color w:val="000000"/>
              </w:rPr>
            </w:pPr>
            <w:r w:rsidRPr="00871279">
              <w:rPr>
                <w:rFonts w:ascii="Calibri" w:eastAsia="Times New Roman" w:hAnsi="Calibri" w:cs="Times New Roman"/>
                <w:b/>
                <w:color w:val="000000"/>
              </w:rPr>
              <w:t>39%</w:t>
            </w:r>
          </w:p>
        </w:tc>
        <w:tc>
          <w:tcPr>
            <w:tcW w:w="2551" w:type="dxa"/>
            <w:shd w:val="clear" w:color="auto" w:fill="FBD4B4" w:themeFill="accent6" w:themeFillTint="66"/>
            <w:noWrap/>
            <w:vAlign w:val="center"/>
            <w:hideMark/>
          </w:tcPr>
          <w:p w14:paraId="41947E12" w14:textId="77777777" w:rsidR="00871279" w:rsidRPr="00871279" w:rsidRDefault="00871279" w:rsidP="005D1FAF">
            <w:pPr>
              <w:spacing w:after="0" w:line="240" w:lineRule="auto"/>
              <w:jc w:val="both"/>
              <w:rPr>
                <w:rFonts w:ascii="Calibri" w:eastAsia="Times New Roman" w:hAnsi="Calibri" w:cs="Times New Roman"/>
                <w:b/>
                <w:color w:val="000000"/>
              </w:rPr>
            </w:pPr>
            <w:r w:rsidRPr="00871279">
              <w:rPr>
                <w:rFonts w:ascii="Calibri" w:eastAsia="Times New Roman" w:hAnsi="Calibri" w:cs="Times New Roman"/>
                <w:b/>
                <w:color w:val="000000"/>
              </w:rPr>
              <w:t>70%</w:t>
            </w:r>
          </w:p>
        </w:tc>
        <w:tc>
          <w:tcPr>
            <w:tcW w:w="824" w:type="dxa"/>
            <w:shd w:val="clear" w:color="auto" w:fill="FBD4B4" w:themeFill="accent6" w:themeFillTint="66"/>
            <w:noWrap/>
            <w:vAlign w:val="center"/>
            <w:hideMark/>
          </w:tcPr>
          <w:p w14:paraId="78B56315" w14:textId="77777777" w:rsidR="00871279" w:rsidRPr="00871279" w:rsidRDefault="00871279" w:rsidP="005D1FAF">
            <w:pPr>
              <w:spacing w:after="0" w:line="240" w:lineRule="auto"/>
              <w:jc w:val="both"/>
              <w:rPr>
                <w:rFonts w:ascii="Calibri" w:eastAsia="Times New Roman" w:hAnsi="Calibri" w:cs="Times New Roman"/>
                <w:b/>
                <w:color w:val="000000"/>
              </w:rPr>
            </w:pPr>
            <w:r w:rsidRPr="00871279">
              <w:rPr>
                <w:rFonts w:ascii="Calibri" w:eastAsia="Times New Roman" w:hAnsi="Calibri" w:cs="Times New Roman"/>
                <w:b/>
                <w:color w:val="000000"/>
              </w:rPr>
              <w:t>30%</w:t>
            </w:r>
          </w:p>
        </w:tc>
      </w:tr>
      <w:tr w:rsidR="00C06A72" w:rsidRPr="00871279" w14:paraId="79070D24" w14:textId="77777777" w:rsidTr="00057C2C">
        <w:trPr>
          <w:trHeight w:val="300"/>
          <w:jc w:val="center"/>
        </w:trPr>
        <w:tc>
          <w:tcPr>
            <w:tcW w:w="2569" w:type="dxa"/>
            <w:shd w:val="clear" w:color="auto" w:fill="auto"/>
            <w:noWrap/>
            <w:vAlign w:val="center"/>
            <w:hideMark/>
          </w:tcPr>
          <w:p w14:paraId="64B915BA"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54%</w:t>
            </w:r>
          </w:p>
        </w:tc>
        <w:tc>
          <w:tcPr>
            <w:tcW w:w="2551" w:type="dxa"/>
            <w:shd w:val="clear" w:color="auto" w:fill="auto"/>
            <w:noWrap/>
            <w:vAlign w:val="center"/>
            <w:hideMark/>
          </w:tcPr>
          <w:p w14:paraId="2B835C95"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80%</w:t>
            </w:r>
          </w:p>
        </w:tc>
        <w:tc>
          <w:tcPr>
            <w:tcW w:w="824" w:type="dxa"/>
            <w:shd w:val="clear" w:color="auto" w:fill="auto"/>
            <w:noWrap/>
            <w:vAlign w:val="center"/>
            <w:hideMark/>
          </w:tcPr>
          <w:p w14:paraId="69839C10"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26%</w:t>
            </w:r>
          </w:p>
        </w:tc>
      </w:tr>
      <w:tr w:rsidR="00C06A72" w:rsidRPr="00871279" w14:paraId="29495ADF" w14:textId="77777777" w:rsidTr="00057C2C">
        <w:trPr>
          <w:trHeight w:val="320"/>
          <w:jc w:val="center"/>
        </w:trPr>
        <w:tc>
          <w:tcPr>
            <w:tcW w:w="2569" w:type="dxa"/>
            <w:shd w:val="clear" w:color="auto" w:fill="auto"/>
            <w:noWrap/>
            <w:vAlign w:val="center"/>
            <w:hideMark/>
          </w:tcPr>
          <w:p w14:paraId="1E901D89"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69%</w:t>
            </w:r>
          </w:p>
        </w:tc>
        <w:tc>
          <w:tcPr>
            <w:tcW w:w="2551" w:type="dxa"/>
            <w:shd w:val="clear" w:color="auto" w:fill="auto"/>
            <w:noWrap/>
            <w:vAlign w:val="center"/>
            <w:hideMark/>
          </w:tcPr>
          <w:p w14:paraId="19C9C333"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90%</w:t>
            </w:r>
          </w:p>
        </w:tc>
        <w:tc>
          <w:tcPr>
            <w:tcW w:w="824" w:type="dxa"/>
            <w:shd w:val="clear" w:color="auto" w:fill="auto"/>
            <w:noWrap/>
            <w:vAlign w:val="center"/>
            <w:hideMark/>
          </w:tcPr>
          <w:p w14:paraId="6C52385E" w14:textId="77777777" w:rsidR="00871279" w:rsidRPr="00871279" w:rsidRDefault="00871279" w:rsidP="005D1FAF">
            <w:pPr>
              <w:spacing w:after="0" w:line="240" w:lineRule="auto"/>
              <w:jc w:val="both"/>
              <w:rPr>
                <w:rFonts w:ascii="Calibri" w:eastAsia="Times New Roman" w:hAnsi="Calibri" w:cs="Times New Roman"/>
                <w:color w:val="000000"/>
              </w:rPr>
            </w:pPr>
            <w:r w:rsidRPr="00871279">
              <w:rPr>
                <w:rFonts w:ascii="Calibri" w:eastAsia="Times New Roman" w:hAnsi="Calibri" w:cs="Times New Roman"/>
                <w:color w:val="000000"/>
              </w:rPr>
              <w:t>21%</w:t>
            </w:r>
          </w:p>
        </w:tc>
      </w:tr>
    </w:tbl>
    <w:p w14:paraId="584152C9" w14:textId="77777777" w:rsidR="001A7756" w:rsidRDefault="001A7756" w:rsidP="005D1FAF">
      <w:pPr>
        <w:jc w:val="both"/>
      </w:pPr>
    </w:p>
    <w:p w14:paraId="758FF595" w14:textId="22C52618" w:rsidR="00C56B7E" w:rsidRDefault="00253D0D" w:rsidP="004A3052">
      <w:pPr>
        <w:jc w:val="both"/>
      </w:pPr>
      <w:commentRangeStart w:id="6"/>
      <w:r>
        <w:lastRenderedPageBreak/>
        <w:t>Results</w:t>
      </w:r>
      <w:commentRangeEnd w:id="6"/>
      <w:r>
        <w:rPr>
          <w:rStyle w:val="CommentReference"/>
        </w:rPr>
        <w:commentReference w:id="6"/>
      </w:r>
      <w:r>
        <w:t xml:space="preserve"> show that the top 75% of prospects contain 92% of the total sales. This means that if we cut out 25% of the mailing quantities, we would not lose more than 8-9% of the total sales. </w:t>
      </w:r>
      <w:r w:rsidR="00DF2A00">
        <w:t xml:space="preserve">The most impactful variables were: whether the prospect was a member of the Affluent Young Families Customer segment or the Student in Apartments Customer segment or the </w:t>
      </w:r>
      <w:proofErr w:type="spellStart"/>
      <w:r w:rsidR="00DF2A00">
        <w:t>Dinki’s</w:t>
      </w:r>
      <w:proofErr w:type="spellEnd"/>
      <w:r w:rsidR="00DF2A00">
        <w:t xml:space="preserve"> (double income no kids) Customer segment or the Mixed Rural Customer segment or the </w:t>
      </w:r>
      <w:r w:rsidR="00DF2A00" w:rsidRPr="007973ED">
        <w:rPr>
          <w:rFonts w:ascii="Arial" w:eastAsia="Times New Roman" w:hAnsi="Arial" w:cs="Arial"/>
          <w:color w:val="000000"/>
          <w:sz w:val="20"/>
          <w:szCs w:val="20"/>
        </w:rPr>
        <w:t>Large Family Farms Customer segment</w:t>
      </w:r>
      <w:r w:rsidR="00DF2A00">
        <w:rPr>
          <w:rFonts w:ascii="Arial" w:eastAsia="Times New Roman" w:hAnsi="Arial" w:cs="Arial"/>
          <w:color w:val="000000"/>
          <w:sz w:val="20"/>
          <w:szCs w:val="20"/>
        </w:rPr>
        <w:t xml:space="preserve">. </w:t>
      </w:r>
      <w:r>
        <w:t xml:space="preserve">If we want to cut the </w:t>
      </w:r>
      <w:r w:rsidRPr="006F0C04">
        <w:t>mail quantity by a different percent</w:t>
      </w:r>
      <w:r>
        <w:t>, an alternative cut-point identified using lift analysis exists at 70% of the pro</w:t>
      </w:r>
      <w:r w:rsidR="00DF2A00">
        <w:t>spect universe which contains 91</w:t>
      </w:r>
      <w:r>
        <w:t xml:space="preserve">% of the sales. </w:t>
      </w:r>
    </w:p>
    <w:p w14:paraId="3147AFBF" w14:textId="77777777" w:rsidR="000E39F7" w:rsidRDefault="000E39F7" w:rsidP="00C97E8D">
      <w:pPr>
        <w:jc w:val="center"/>
        <w:rPr>
          <w:b/>
          <w:u w:val="single"/>
        </w:rPr>
      </w:pPr>
    </w:p>
    <w:p w14:paraId="7305417D" w14:textId="262DFD2B" w:rsidR="002D275E" w:rsidRPr="00C56B7E" w:rsidRDefault="00D243E5" w:rsidP="00C97E8D">
      <w:pPr>
        <w:jc w:val="center"/>
      </w:pPr>
      <w:r w:rsidRPr="00321BDB">
        <w:rPr>
          <w:b/>
          <w:u w:val="single"/>
        </w:rPr>
        <w:t>Technical Appendix</w:t>
      </w:r>
    </w:p>
    <w:p w14:paraId="58B9A006" w14:textId="77777777" w:rsidR="000B6EA2" w:rsidRDefault="000B6EA2" w:rsidP="005D1FAF">
      <w:pPr>
        <w:jc w:val="both"/>
        <w:rPr>
          <w:b/>
        </w:rPr>
      </w:pPr>
    </w:p>
    <w:p w14:paraId="75DE3A9F" w14:textId="77777777" w:rsidR="00C56B7E" w:rsidRDefault="00C56B7E" w:rsidP="005D1FAF">
      <w:pPr>
        <w:jc w:val="both"/>
      </w:pPr>
      <w:r>
        <w:t>This technical appendix provides details as to how the data was prepared for modeling and the construction of the model itself.</w:t>
      </w:r>
    </w:p>
    <w:p w14:paraId="697BCF09" w14:textId="77777777" w:rsidR="00C56B7E" w:rsidRDefault="00C56B7E" w:rsidP="005D1FAF">
      <w:pPr>
        <w:jc w:val="both"/>
        <w:rPr>
          <w:b/>
        </w:rPr>
      </w:pPr>
    </w:p>
    <w:p w14:paraId="4DC26E0D" w14:textId="77777777" w:rsidR="00C56B7E" w:rsidRPr="007F744B" w:rsidRDefault="00C56B7E" w:rsidP="005D1FAF">
      <w:pPr>
        <w:jc w:val="both"/>
        <w:rPr>
          <w:b/>
        </w:rPr>
      </w:pPr>
      <w:r w:rsidRPr="007F744B">
        <w:rPr>
          <w:b/>
        </w:rPr>
        <w:t>Logistic Regression</w:t>
      </w:r>
    </w:p>
    <w:p w14:paraId="3704C423" w14:textId="73CACBAA" w:rsidR="00C56B7E" w:rsidRDefault="00C56B7E" w:rsidP="005D1FAF">
      <w:pPr>
        <w:jc w:val="both"/>
      </w:pPr>
      <w:r>
        <w:t>A logistic regression model was built to identify the characteristics of prospects more likely to sign up for</w:t>
      </w:r>
      <w:r w:rsidR="00625C8D">
        <w:t xml:space="preserve"> Blue</w:t>
      </w:r>
      <w:r>
        <w:t xml:space="preserve"> </w:t>
      </w:r>
      <w:r w:rsidRPr="0040724F">
        <w:t>Cross</w:t>
      </w:r>
      <w:r w:rsidR="00625C8D">
        <w:t xml:space="preserve"> –</w:t>
      </w:r>
      <w:r w:rsidRPr="0040724F">
        <w:t xml:space="preserve"> Blue Shield health maintenance organization (HMO)</w:t>
      </w:r>
      <w:r>
        <w:t xml:space="preserve">. The results of that model are shown below.  Details regarding the steps preceding the actual model construction follow. </w:t>
      </w:r>
    </w:p>
    <w:p w14:paraId="43467E7E" w14:textId="026F8F54" w:rsidR="00182490" w:rsidRDefault="00182490" w:rsidP="00182490">
      <w:pPr>
        <w:jc w:val="center"/>
      </w:pPr>
      <w:r>
        <w:t>TABLE 3: Logistic Regression Results</w:t>
      </w:r>
    </w:p>
    <w:tbl>
      <w:tblPr>
        <w:tblStyle w:val="TableGrid"/>
        <w:tblW w:w="0" w:type="auto"/>
        <w:tblLook w:val="04A0" w:firstRow="1" w:lastRow="0" w:firstColumn="1" w:lastColumn="0" w:noHBand="0" w:noVBand="1"/>
      </w:tblPr>
      <w:tblGrid>
        <w:gridCol w:w="5395"/>
        <w:gridCol w:w="5395"/>
      </w:tblGrid>
      <w:tr w:rsidR="00182490" w14:paraId="0ACBC862" w14:textId="77777777" w:rsidTr="00182490">
        <w:tc>
          <w:tcPr>
            <w:tcW w:w="5395" w:type="dxa"/>
          </w:tcPr>
          <w:p w14:paraId="24CEB5D0" w14:textId="6DAE5561" w:rsidR="00182490" w:rsidRPr="00057C2C" w:rsidRDefault="00057C2C" w:rsidP="00625C8D">
            <w:pPr>
              <w:jc w:val="center"/>
              <w:rPr>
                <w:b/>
              </w:rPr>
            </w:pPr>
            <w:r w:rsidRPr="00057C2C">
              <w:rPr>
                <w:b/>
              </w:rPr>
              <w:t>VARIABLE</w:t>
            </w:r>
          </w:p>
        </w:tc>
        <w:tc>
          <w:tcPr>
            <w:tcW w:w="5395" w:type="dxa"/>
          </w:tcPr>
          <w:p w14:paraId="2921A536" w14:textId="4336BAED" w:rsidR="00182490" w:rsidRPr="00057C2C" w:rsidRDefault="00057C2C" w:rsidP="00625C8D">
            <w:pPr>
              <w:jc w:val="center"/>
              <w:rPr>
                <w:b/>
              </w:rPr>
            </w:pPr>
            <w:r w:rsidRPr="00057C2C">
              <w:rPr>
                <w:b/>
              </w:rPr>
              <w:t>P-VALUES</w:t>
            </w:r>
          </w:p>
        </w:tc>
      </w:tr>
      <w:tr w:rsidR="00182490" w14:paraId="7BC60952" w14:textId="77777777" w:rsidTr="00600CBC">
        <w:tc>
          <w:tcPr>
            <w:tcW w:w="5395" w:type="dxa"/>
            <w:vAlign w:val="center"/>
          </w:tcPr>
          <w:p w14:paraId="46D3212E" w14:textId="2AB6E3A3" w:rsidR="00182490" w:rsidRDefault="00182490" w:rsidP="00625C8D">
            <w:pPr>
              <w:jc w:val="center"/>
            </w:pPr>
            <w:r w:rsidRPr="00CF2232">
              <w:rPr>
                <w:rFonts w:eastAsia="Times New Roman" w:cs="Arial"/>
                <w:color w:val="000000"/>
              </w:rPr>
              <w:t>Affluent Young Families Customer segment</w:t>
            </w:r>
          </w:p>
        </w:tc>
        <w:tc>
          <w:tcPr>
            <w:tcW w:w="5395" w:type="dxa"/>
          </w:tcPr>
          <w:p w14:paraId="2CACC9CA" w14:textId="73B57E08" w:rsidR="00182490" w:rsidRDefault="00182490" w:rsidP="00625C8D">
            <w:pPr>
              <w:jc w:val="center"/>
            </w:pPr>
            <w:r>
              <w:t>&lt;0.0001</w:t>
            </w:r>
          </w:p>
        </w:tc>
      </w:tr>
      <w:tr w:rsidR="00182490" w14:paraId="7451DFDD" w14:textId="77777777" w:rsidTr="00600CBC">
        <w:tc>
          <w:tcPr>
            <w:tcW w:w="5395" w:type="dxa"/>
            <w:vAlign w:val="center"/>
          </w:tcPr>
          <w:p w14:paraId="77607ECE" w14:textId="4547B3B7" w:rsidR="00182490" w:rsidRDefault="00182490" w:rsidP="00625C8D">
            <w:pPr>
              <w:jc w:val="center"/>
            </w:pPr>
            <w:r w:rsidRPr="00CF2232">
              <w:rPr>
                <w:rFonts w:eastAsia="Times New Roman" w:cs="Arial"/>
                <w:color w:val="000000"/>
              </w:rPr>
              <w:t>Student in Apartments Customer segment</w:t>
            </w:r>
          </w:p>
        </w:tc>
        <w:tc>
          <w:tcPr>
            <w:tcW w:w="5395" w:type="dxa"/>
          </w:tcPr>
          <w:p w14:paraId="4BED93F4" w14:textId="5348EFD8" w:rsidR="00182490" w:rsidRDefault="00182490" w:rsidP="00625C8D">
            <w:pPr>
              <w:jc w:val="center"/>
            </w:pPr>
            <w:r>
              <w:t>0.0332</w:t>
            </w:r>
          </w:p>
        </w:tc>
      </w:tr>
      <w:tr w:rsidR="00182490" w14:paraId="6D1151AC" w14:textId="77777777" w:rsidTr="00600CBC">
        <w:tc>
          <w:tcPr>
            <w:tcW w:w="5395" w:type="dxa"/>
            <w:vAlign w:val="center"/>
          </w:tcPr>
          <w:p w14:paraId="04061487" w14:textId="6AC6429A" w:rsidR="00182490" w:rsidRDefault="00182490" w:rsidP="00625C8D">
            <w:pPr>
              <w:jc w:val="center"/>
            </w:pPr>
            <w:proofErr w:type="spellStart"/>
            <w:r w:rsidRPr="00CF2232">
              <w:rPr>
                <w:rFonts w:eastAsia="Times New Roman" w:cs="Arial"/>
                <w:color w:val="000000"/>
              </w:rPr>
              <w:t>Dinki's</w:t>
            </w:r>
            <w:proofErr w:type="spellEnd"/>
            <w:r w:rsidRPr="00CF2232">
              <w:rPr>
                <w:rFonts w:eastAsia="Times New Roman" w:cs="Arial"/>
                <w:color w:val="000000"/>
              </w:rPr>
              <w:t xml:space="preserve"> (Double Income No Kids) Customer segment</w:t>
            </w:r>
          </w:p>
        </w:tc>
        <w:tc>
          <w:tcPr>
            <w:tcW w:w="5395" w:type="dxa"/>
          </w:tcPr>
          <w:p w14:paraId="784E409A" w14:textId="302610B4" w:rsidR="00182490" w:rsidRDefault="00182490" w:rsidP="00625C8D">
            <w:pPr>
              <w:jc w:val="center"/>
            </w:pPr>
            <w:r>
              <w:t>0.0024</w:t>
            </w:r>
          </w:p>
        </w:tc>
      </w:tr>
      <w:tr w:rsidR="00182490" w14:paraId="144CED4E" w14:textId="77777777" w:rsidTr="00600CBC">
        <w:tc>
          <w:tcPr>
            <w:tcW w:w="5395" w:type="dxa"/>
            <w:vAlign w:val="center"/>
          </w:tcPr>
          <w:p w14:paraId="4C772BE5" w14:textId="52F606F4" w:rsidR="00182490" w:rsidRDefault="00182490" w:rsidP="00625C8D">
            <w:pPr>
              <w:jc w:val="center"/>
            </w:pPr>
            <w:r w:rsidRPr="005D1FAF">
              <w:rPr>
                <w:rFonts w:eastAsia="Times New Roman" w:cs="Arial"/>
                <w:color w:val="000000"/>
              </w:rPr>
              <w:t>Mixed Rural</w:t>
            </w:r>
            <w:r w:rsidRPr="00CF2232">
              <w:rPr>
                <w:rFonts w:eastAsia="Times New Roman" w:cs="Arial"/>
                <w:color w:val="000000"/>
              </w:rPr>
              <w:t xml:space="preserve"> Customer segment</w:t>
            </w:r>
          </w:p>
        </w:tc>
        <w:tc>
          <w:tcPr>
            <w:tcW w:w="5395" w:type="dxa"/>
          </w:tcPr>
          <w:p w14:paraId="12DBC623" w14:textId="3F5B9E0F" w:rsidR="00182490" w:rsidRDefault="00182490" w:rsidP="00625C8D">
            <w:pPr>
              <w:jc w:val="center"/>
            </w:pPr>
            <w:r>
              <w:t>0.0286</w:t>
            </w:r>
          </w:p>
        </w:tc>
      </w:tr>
      <w:tr w:rsidR="00182490" w14:paraId="2061B80B" w14:textId="77777777" w:rsidTr="00600CBC">
        <w:tc>
          <w:tcPr>
            <w:tcW w:w="5395" w:type="dxa"/>
            <w:vAlign w:val="center"/>
          </w:tcPr>
          <w:p w14:paraId="663892D7" w14:textId="4375A5F8" w:rsidR="00182490" w:rsidRDefault="00182490" w:rsidP="00625C8D">
            <w:pPr>
              <w:jc w:val="center"/>
            </w:pPr>
            <w:r w:rsidRPr="00CF2232">
              <w:rPr>
                <w:rFonts w:eastAsia="Times New Roman" w:cs="Arial"/>
                <w:color w:val="000000"/>
              </w:rPr>
              <w:t>Large Family Farms Customer segment</w:t>
            </w:r>
          </w:p>
        </w:tc>
        <w:tc>
          <w:tcPr>
            <w:tcW w:w="5395" w:type="dxa"/>
          </w:tcPr>
          <w:p w14:paraId="23662337" w14:textId="38CB8908" w:rsidR="00182490" w:rsidRDefault="00182490" w:rsidP="00625C8D">
            <w:pPr>
              <w:jc w:val="center"/>
            </w:pPr>
            <w:r>
              <w:t>0.0440</w:t>
            </w:r>
          </w:p>
        </w:tc>
      </w:tr>
      <w:tr w:rsidR="00182490" w14:paraId="46211810" w14:textId="77777777" w:rsidTr="00600CBC">
        <w:tc>
          <w:tcPr>
            <w:tcW w:w="5395" w:type="dxa"/>
            <w:vAlign w:val="center"/>
          </w:tcPr>
          <w:p w14:paraId="5FDE4746" w14:textId="136CE114" w:rsidR="00182490" w:rsidRDefault="00182490" w:rsidP="00625C8D">
            <w:pPr>
              <w:jc w:val="center"/>
            </w:pPr>
            <w:r>
              <w:rPr>
                <w:rFonts w:eastAsia="Times New Roman" w:cs="Times New Roman"/>
                <w:color w:val="000000"/>
              </w:rPr>
              <w:t>N</w:t>
            </w:r>
            <w:r w:rsidRPr="00CF2232">
              <w:rPr>
                <w:rFonts w:eastAsia="Times New Roman" w:cs="Times New Roman"/>
                <w:color w:val="000000"/>
              </w:rPr>
              <w:t>umber of private third party insurance policies</w:t>
            </w:r>
          </w:p>
        </w:tc>
        <w:tc>
          <w:tcPr>
            <w:tcW w:w="5395" w:type="dxa"/>
          </w:tcPr>
          <w:p w14:paraId="6D613AFE" w14:textId="7354BABD" w:rsidR="00182490" w:rsidRDefault="00182490" w:rsidP="00625C8D">
            <w:pPr>
              <w:jc w:val="center"/>
            </w:pPr>
            <w:r>
              <w:t>0.0003</w:t>
            </w:r>
          </w:p>
        </w:tc>
      </w:tr>
      <w:tr w:rsidR="00182490" w14:paraId="6FE0ABF2" w14:textId="77777777" w:rsidTr="00600CBC">
        <w:tc>
          <w:tcPr>
            <w:tcW w:w="5395" w:type="dxa"/>
            <w:vAlign w:val="center"/>
          </w:tcPr>
          <w:p w14:paraId="7EA4E5F7" w14:textId="530388C4" w:rsidR="00182490" w:rsidRDefault="00182490" w:rsidP="00625C8D">
            <w:pPr>
              <w:jc w:val="center"/>
            </w:pPr>
            <w:r w:rsidRPr="00CF2232">
              <w:rPr>
                <w:rFonts w:eastAsia="Times New Roman" w:cs="Arial"/>
                <w:color w:val="000000"/>
              </w:rPr>
              <w:t>Average age</w:t>
            </w:r>
          </w:p>
        </w:tc>
        <w:tc>
          <w:tcPr>
            <w:tcW w:w="5395" w:type="dxa"/>
          </w:tcPr>
          <w:p w14:paraId="171731DD" w14:textId="148CE5C4" w:rsidR="00182490" w:rsidRDefault="00182490" w:rsidP="00625C8D">
            <w:pPr>
              <w:jc w:val="center"/>
            </w:pPr>
            <w:r>
              <w:t>0.0013</w:t>
            </w:r>
          </w:p>
        </w:tc>
      </w:tr>
      <w:tr w:rsidR="00182490" w14:paraId="44CE90D6" w14:textId="77777777" w:rsidTr="00600CBC">
        <w:tc>
          <w:tcPr>
            <w:tcW w:w="5395" w:type="dxa"/>
            <w:vAlign w:val="center"/>
          </w:tcPr>
          <w:p w14:paraId="193159C1" w14:textId="49A2B280" w:rsidR="00182490" w:rsidRDefault="00182490" w:rsidP="00625C8D">
            <w:pPr>
              <w:jc w:val="center"/>
            </w:pPr>
            <w:r>
              <w:rPr>
                <w:rFonts w:eastAsia="Times New Roman" w:cs="Times New Roman"/>
                <w:color w:val="000000"/>
              </w:rPr>
              <w:t>P</w:t>
            </w:r>
            <w:r w:rsidRPr="00CF2232">
              <w:rPr>
                <w:rFonts w:eastAsia="Times New Roman" w:cs="Times New Roman"/>
                <w:color w:val="000000"/>
              </w:rPr>
              <w:t>ercent of people belonging to Social Class B1</w:t>
            </w:r>
          </w:p>
        </w:tc>
        <w:tc>
          <w:tcPr>
            <w:tcW w:w="5395" w:type="dxa"/>
          </w:tcPr>
          <w:p w14:paraId="154CF7E4" w14:textId="7C57427A" w:rsidR="00182490" w:rsidRDefault="00182490" w:rsidP="00625C8D">
            <w:pPr>
              <w:jc w:val="center"/>
            </w:pPr>
            <w:r>
              <w:t>0.001</w:t>
            </w:r>
          </w:p>
        </w:tc>
      </w:tr>
      <w:tr w:rsidR="00182490" w14:paraId="2495C337" w14:textId="77777777" w:rsidTr="00182490">
        <w:trPr>
          <w:trHeight w:val="233"/>
        </w:trPr>
        <w:tc>
          <w:tcPr>
            <w:tcW w:w="5395" w:type="dxa"/>
            <w:vAlign w:val="center"/>
          </w:tcPr>
          <w:p w14:paraId="4397459F" w14:textId="01A6B68A" w:rsidR="00182490" w:rsidRDefault="00182490" w:rsidP="00625C8D">
            <w:pPr>
              <w:jc w:val="center"/>
            </w:pPr>
            <w:r>
              <w:rPr>
                <w:rFonts w:eastAsia="Times New Roman" w:cs="Times New Roman"/>
                <w:color w:val="000000"/>
              </w:rPr>
              <w:t>P</w:t>
            </w:r>
            <w:r w:rsidRPr="00CF2232">
              <w:rPr>
                <w:rFonts w:eastAsia="Times New Roman" w:cs="Times New Roman"/>
                <w:color w:val="000000"/>
              </w:rPr>
              <w:t>ercent of Singles</w:t>
            </w:r>
          </w:p>
        </w:tc>
        <w:tc>
          <w:tcPr>
            <w:tcW w:w="5395" w:type="dxa"/>
          </w:tcPr>
          <w:p w14:paraId="1D56C379" w14:textId="3A9E3DF4" w:rsidR="00182490" w:rsidRDefault="00182490" w:rsidP="00625C8D">
            <w:pPr>
              <w:jc w:val="center"/>
            </w:pPr>
            <w:r>
              <w:t>0.0413</w:t>
            </w:r>
          </w:p>
        </w:tc>
      </w:tr>
    </w:tbl>
    <w:p w14:paraId="50215A61" w14:textId="77777777" w:rsidR="00C56B7E" w:rsidRDefault="00C56B7E" w:rsidP="005D1FAF">
      <w:pPr>
        <w:jc w:val="both"/>
        <w:rPr>
          <w:rFonts w:ascii="SAS Monospace" w:hAnsi="SAS Monospace" w:cs="SAS Monospace"/>
          <w:sz w:val="16"/>
          <w:szCs w:val="16"/>
        </w:rPr>
      </w:pPr>
    </w:p>
    <w:p w14:paraId="2A9516F4" w14:textId="7C0B300A" w:rsidR="00C56B7E" w:rsidRPr="00C05378" w:rsidRDefault="00C56B7E" w:rsidP="005D1FAF">
      <w:pPr>
        <w:jc w:val="both"/>
        <w:rPr>
          <w:rFonts w:cs="SAS Monospace"/>
        </w:rPr>
      </w:pPr>
      <w:r>
        <w:rPr>
          <w:rFonts w:cs="SAS Monospace"/>
        </w:rPr>
        <w:t>We comment on the statistical significance of the variables by looking at their p-values in table 3. The p-values of all the variables are less than 0.05, a standard measure of alpha. Since all the p-values are less than alpha, we say that all the variables are statistically significant.</w:t>
      </w:r>
    </w:p>
    <w:p w14:paraId="3A0B0495" w14:textId="77777777" w:rsidR="00C27833" w:rsidRDefault="00C27833" w:rsidP="005D1FAF">
      <w:pPr>
        <w:jc w:val="both"/>
        <w:rPr>
          <w:rFonts w:cs="SAS Monospace"/>
        </w:rPr>
      </w:pPr>
    </w:p>
    <w:p w14:paraId="565F1279" w14:textId="77777777" w:rsidR="00E457CF" w:rsidRDefault="00E457CF" w:rsidP="005D1FAF">
      <w:pPr>
        <w:jc w:val="both"/>
        <w:rPr>
          <w:rFonts w:cs="SAS Monospace"/>
        </w:rPr>
      </w:pPr>
    </w:p>
    <w:p w14:paraId="63BB8863" w14:textId="77777777" w:rsidR="00182490" w:rsidRDefault="00182490" w:rsidP="005D1FAF">
      <w:pPr>
        <w:jc w:val="both"/>
        <w:rPr>
          <w:rFonts w:cs="SAS Monospace"/>
        </w:rPr>
      </w:pPr>
    </w:p>
    <w:p w14:paraId="2C6C3A7F" w14:textId="77777777" w:rsidR="00182490" w:rsidRDefault="00182490" w:rsidP="005D1FAF">
      <w:pPr>
        <w:jc w:val="both"/>
        <w:rPr>
          <w:rFonts w:cs="SAS Monospace"/>
        </w:rPr>
      </w:pPr>
    </w:p>
    <w:p w14:paraId="4F0CEFA1" w14:textId="77777777" w:rsidR="00182490" w:rsidRDefault="00182490" w:rsidP="005D1FAF">
      <w:pPr>
        <w:jc w:val="both"/>
        <w:rPr>
          <w:rFonts w:cs="SAS Monospace"/>
        </w:rPr>
      </w:pPr>
    </w:p>
    <w:p w14:paraId="18549B01" w14:textId="77777777" w:rsidR="00E457CF" w:rsidRPr="00C05378" w:rsidRDefault="00E457CF" w:rsidP="005D1FAF">
      <w:pPr>
        <w:jc w:val="both"/>
        <w:rPr>
          <w:rFonts w:cs="SAS Monospace"/>
        </w:rPr>
      </w:pPr>
    </w:p>
    <w:p w14:paraId="603E98E5" w14:textId="50A269D2" w:rsidR="00C27833" w:rsidRPr="00C05378" w:rsidRDefault="00C27833" w:rsidP="005D1FAF">
      <w:pPr>
        <w:jc w:val="both"/>
        <w:rPr>
          <w:rFonts w:cs="SAS Monospace"/>
          <w:b/>
        </w:rPr>
      </w:pPr>
      <w:r w:rsidRPr="00C05378">
        <w:rPr>
          <w:rFonts w:cs="SAS Monospace"/>
          <w:b/>
        </w:rPr>
        <w:lastRenderedPageBreak/>
        <w:t>Data Preparation</w:t>
      </w:r>
      <w:r w:rsidR="001B5648">
        <w:rPr>
          <w:rFonts w:cs="SAS Monospace"/>
          <w:b/>
        </w:rPr>
        <w:t xml:space="preserve"> And Variable </w:t>
      </w:r>
      <w:commentRangeStart w:id="7"/>
      <w:r w:rsidR="001B5648">
        <w:rPr>
          <w:rFonts w:cs="SAS Monospace"/>
          <w:b/>
        </w:rPr>
        <w:t>Selection</w:t>
      </w:r>
      <w:commentRangeEnd w:id="7"/>
      <w:r w:rsidR="001A7756">
        <w:rPr>
          <w:rStyle w:val="CommentReference"/>
        </w:rPr>
        <w:commentReference w:id="7"/>
      </w:r>
    </w:p>
    <w:p w14:paraId="62832726" w14:textId="7D9C268E" w:rsidR="00EF7107" w:rsidRPr="00C05378" w:rsidRDefault="00EF7107" w:rsidP="005D1FAF">
      <w:pPr>
        <w:jc w:val="both"/>
        <w:rPr>
          <w:rFonts w:cs="SAS Monospace"/>
        </w:rPr>
      </w:pPr>
      <w:r w:rsidRPr="00C05378">
        <w:rPr>
          <w:rFonts w:cs="SAS Monospace"/>
        </w:rPr>
        <w:t xml:space="preserve">The initial file contained </w:t>
      </w:r>
      <w:r>
        <w:rPr>
          <w:rFonts w:cs="SAS Monospace"/>
        </w:rPr>
        <w:t>5</w:t>
      </w:r>
      <w:r w:rsidR="00E457CF">
        <w:rPr>
          <w:rFonts w:cs="SAS Monospace"/>
        </w:rPr>
        <w:t>,</w:t>
      </w:r>
      <w:r>
        <w:rPr>
          <w:rFonts w:cs="SAS Monospace"/>
        </w:rPr>
        <w:t>403 rows and 26</w:t>
      </w:r>
      <w:r w:rsidRPr="00C05378">
        <w:rPr>
          <w:rFonts w:cs="SAS Monospace"/>
        </w:rPr>
        <w:t xml:space="preserve"> variables.  A number of these variables required adjustment prior to building the model.</w:t>
      </w:r>
    </w:p>
    <w:p w14:paraId="113626AE" w14:textId="5EA56A02" w:rsidR="0051230E" w:rsidRDefault="00EF7107" w:rsidP="005D1FAF">
      <w:pPr>
        <w:jc w:val="both"/>
        <w:rPr>
          <w:rFonts w:cs="SAS Monospace"/>
        </w:rPr>
      </w:pPr>
      <w:r w:rsidRPr="001D3756">
        <w:rPr>
          <w:rFonts w:cs="SAS Monospace"/>
          <w:b/>
          <w:u w:val="single"/>
        </w:rPr>
        <w:t>Ordinal Variables.</w:t>
      </w:r>
      <w:r w:rsidRPr="001D3756">
        <w:rPr>
          <w:rFonts w:cs="SAS Monospace"/>
          <w:b/>
        </w:rPr>
        <w:t xml:space="preserve">  </w:t>
      </w:r>
      <w:r>
        <w:rPr>
          <w:rFonts w:cs="SAS Monospace"/>
        </w:rPr>
        <w:t>The file contained 15</w:t>
      </w:r>
      <w:r w:rsidRPr="00C05378">
        <w:rPr>
          <w:rFonts w:cs="SAS Monospace"/>
        </w:rPr>
        <w:t xml:space="preserve"> geo-demographic ordinal variables</w:t>
      </w:r>
      <w:r w:rsidR="0051230E">
        <w:rPr>
          <w:rFonts w:cs="SAS Monospace"/>
        </w:rPr>
        <w:t xml:space="preserve"> shown in Table 3</w:t>
      </w:r>
      <w:r w:rsidRPr="00C05378">
        <w:rPr>
          <w:rFonts w:cs="SAS Monospace"/>
        </w:rPr>
        <w:t xml:space="preserve">.  That is, a particular value for one of these variables represented a range of percentage of people of a certain type in the prospect’s neighborhood.  In order to use these variables in a linear model the original values were re-scaled to the </w:t>
      </w:r>
      <w:r>
        <w:rPr>
          <w:rFonts w:cs="SAS Monospace"/>
        </w:rPr>
        <w:t xml:space="preserve">middle </w:t>
      </w:r>
      <w:r w:rsidRPr="00C05378">
        <w:rPr>
          <w:rFonts w:cs="SAS Monospace"/>
        </w:rPr>
        <w:t>of the percentage range</w:t>
      </w:r>
      <w:r w:rsidR="0051230E">
        <w:rPr>
          <w:rFonts w:cs="SAS Monospace"/>
        </w:rPr>
        <w:t xml:space="preserve"> as shown in Table 4</w:t>
      </w:r>
      <w:r w:rsidRPr="00C05378">
        <w:rPr>
          <w:rFonts w:cs="SAS Monospace"/>
        </w:rPr>
        <w:t>.</w:t>
      </w:r>
      <w:r>
        <w:rPr>
          <w:rFonts w:cs="SAS Monospace"/>
        </w:rPr>
        <w:t xml:space="preserve">  Similarly, the file contained 3 variables regarding the amount a prospect spent on certain products</w:t>
      </w:r>
      <w:r w:rsidR="0051230E">
        <w:rPr>
          <w:rFonts w:cs="SAS Monospace"/>
        </w:rPr>
        <w:t xml:space="preserve"> shown in Table 3</w:t>
      </w:r>
      <w:r>
        <w:rPr>
          <w:rFonts w:cs="SAS Monospace"/>
        </w:rPr>
        <w:t>.  These were similarly transformed</w:t>
      </w:r>
      <w:r w:rsidR="0051230E">
        <w:rPr>
          <w:rFonts w:cs="SAS Monospace"/>
        </w:rPr>
        <w:t xml:space="preserve"> as shown in Table 4. </w:t>
      </w:r>
    </w:p>
    <w:p w14:paraId="57F93ED2" w14:textId="53A57222" w:rsidR="00C011FE" w:rsidRDefault="00C011FE" w:rsidP="00C011FE">
      <w:pPr>
        <w:jc w:val="center"/>
        <w:rPr>
          <w:rFonts w:cs="SAS Monospace"/>
        </w:rPr>
      </w:pPr>
      <w:r>
        <w:rPr>
          <w:rFonts w:cs="SAS Monospace"/>
        </w:rPr>
        <w:t>TABLE 3</w:t>
      </w:r>
      <w:r w:rsidRPr="00F70C5D">
        <w:rPr>
          <w:rFonts w:cs="SAS Monospace"/>
        </w:rPr>
        <w:t>: Geo Demographic and Spend Variable</w:t>
      </w:r>
      <w:r>
        <w:rPr>
          <w:rFonts w:cs="SAS Monospace"/>
        </w:rPr>
        <w:t>s</w:t>
      </w:r>
    </w:p>
    <w:p w14:paraId="532B298B" w14:textId="09371B45" w:rsidR="0092322F" w:rsidRDefault="0092322F" w:rsidP="00C011FE">
      <w:pPr>
        <w:jc w:val="center"/>
        <w:rPr>
          <w:rFonts w:cs="SAS Monospace"/>
        </w:rPr>
      </w:pPr>
      <w:r w:rsidRPr="000E39F7">
        <w:rPr>
          <w:rFonts w:cs="SAS Monospace"/>
          <w:noProof/>
        </w:rPr>
        <mc:AlternateContent>
          <mc:Choice Requires="wps">
            <w:drawing>
              <wp:anchor distT="45720" distB="45720" distL="114300" distR="114300" simplePos="0" relativeHeight="251666432" behindDoc="0" locked="0" layoutInCell="1" allowOverlap="1" wp14:anchorId="6B630F70" wp14:editId="4977B61F">
                <wp:simplePos x="0" y="0"/>
                <wp:positionH relativeFrom="column">
                  <wp:posOffset>512445</wp:posOffset>
                </wp:positionH>
                <wp:positionV relativeFrom="paragraph">
                  <wp:posOffset>15240</wp:posOffset>
                </wp:positionV>
                <wp:extent cx="2399665" cy="297815"/>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665" cy="297815"/>
                        </a:xfrm>
                        <a:prstGeom prst="rect">
                          <a:avLst/>
                        </a:prstGeom>
                        <a:noFill/>
                        <a:ln w="9525">
                          <a:noFill/>
                          <a:miter lim="800000"/>
                          <a:headEnd/>
                          <a:tailEnd/>
                        </a:ln>
                      </wps:spPr>
                      <wps:txbx>
                        <w:txbxContent>
                          <w:p w14:paraId="39E5A7DE" w14:textId="2686C1D6" w:rsidR="0092322F" w:rsidRPr="00057C2C" w:rsidRDefault="0092322F" w:rsidP="0092322F">
                            <w:pPr>
                              <w:jc w:val="center"/>
                              <w:rPr>
                                <w:b/>
                              </w:rPr>
                            </w:pPr>
                            <w:r w:rsidRPr="00057C2C">
                              <w:rPr>
                                <w:rFonts w:cs="SAS Monospace"/>
                                <w:b/>
                              </w:rPr>
                              <w:t xml:space="preserve">L3:  </w:t>
                            </w:r>
                            <w:r w:rsidR="00057C2C">
                              <w:rPr>
                                <w:rFonts w:cs="SAS Monospace"/>
                                <w:b/>
                              </w:rPr>
                              <w:t>GEO_DEMOGRAPHIC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630F70" id="_x0000_t202" coordsize="21600,21600" o:spt="202" path="m0,0l0,21600,21600,21600,21600,0xe">
                <v:stroke joinstyle="miter"/>
                <v:path gradientshapeok="t" o:connecttype="rect"/>
              </v:shapetype>
              <v:shape id="Text Box 2" o:spid="_x0000_s1026" type="#_x0000_t202" style="position:absolute;left:0;text-align:left;margin-left:40.35pt;margin-top:1.2pt;width:188.95pt;height:23.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" filled="f" stroked="f">
                <v:textbox>
                  <w:txbxContent>
                    <w:p w14:paraId="39E5A7DE" w14:textId="2686C1D6" w:rsidR="0092322F" w:rsidRPr="00057C2C" w:rsidRDefault="0092322F" w:rsidP="0092322F">
                      <w:pPr>
                        <w:jc w:val="center"/>
                        <w:rPr>
                          <w:b/>
                        </w:rPr>
                      </w:pPr>
                      <w:r w:rsidRPr="00057C2C">
                        <w:rPr>
                          <w:rFonts w:cs="SAS Monospace"/>
                          <w:b/>
                        </w:rPr>
                        <w:t xml:space="preserve">L3:  </w:t>
                      </w:r>
                      <w:r w:rsidR="00057C2C">
                        <w:rPr>
                          <w:rFonts w:cs="SAS Monospace"/>
                          <w:b/>
                        </w:rPr>
                        <w:t>GEO_DEMOGRAPHIC VARIABLES</w:t>
                      </w:r>
                    </w:p>
                  </w:txbxContent>
                </v:textbox>
                <w10:wrap type="square"/>
              </v:shape>
            </w:pict>
          </mc:Fallback>
        </mc:AlternateContent>
      </w:r>
      <w:r w:rsidRPr="000E39F7">
        <w:rPr>
          <w:rFonts w:cs="SAS Monospace"/>
          <w:noProof/>
        </w:rPr>
        <mc:AlternateContent>
          <mc:Choice Requires="wps">
            <w:drawing>
              <wp:anchor distT="45720" distB="45720" distL="114300" distR="114300" simplePos="0" relativeHeight="251668480" behindDoc="0" locked="0" layoutInCell="1" allowOverlap="1" wp14:anchorId="0806ECCF" wp14:editId="221DDAE5">
                <wp:simplePos x="0" y="0"/>
                <wp:positionH relativeFrom="column">
                  <wp:posOffset>4280535</wp:posOffset>
                </wp:positionH>
                <wp:positionV relativeFrom="paragraph">
                  <wp:posOffset>13335</wp:posOffset>
                </wp:positionV>
                <wp:extent cx="1918970" cy="2978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970" cy="297815"/>
                        </a:xfrm>
                        <a:prstGeom prst="rect">
                          <a:avLst/>
                        </a:prstGeom>
                        <a:noFill/>
                        <a:ln w="9525">
                          <a:noFill/>
                          <a:miter lim="800000"/>
                          <a:headEnd/>
                          <a:tailEnd/>
                        </a:ln>
                      </wps:spPr>
                      <wps:txbx>
                        <w:txbxContent>
                          <w:p w14:paraId="20712938" w14:textId="7A9C9F8F" w:rsidR="00057C2C" w:rsidRPr="00057C2C" w:rsidRDefault="00057C2C" w:rsidP="00057C2C">
                            <w:pPr>
                              <w:jc w:val="center"/>
                              <w:rPr>
                                <w:b/>
                              </w:rPr>
                            </w:pPr>
                            <w:r w:rsidRPr="00057C2C">
                              <w:rPr>
                                <w:rFonts w:cs="SAS Monospace"/>
                                <w:b/>
                              </w:rPr>
                              <w:t>L</w:t>
                            </w:r>
                            <w:r>
                              <w:rPr>
                                <w:rFonts w:cs="SAS Monospace"/>
                                <w:b/>
                              </w:rPr>
                              <w:t>4</w:t>
                            </w:r>
                            <w:r w:rsidRPr="00057C2C">
                              <w:rPr>
                                <w:rFonts w:cs="SAS Monospace"/>
                                <w:b/>
                              </w:rPr>
                              <w:t xml:space="preserve">:  </w:t>
                            </w:r>
                            <w:r>
                              <w:rPr>
                                <w:rFonts w:cs="SAS Monospace"/>
                                <w:b/>
                              </w:rPr>
                              <w:t>SPEND VARIABLES</w:t>
                            </w:r>
                          </w:p>
                          <w:p w14:paraId="7E14E5DA" w14:textId="10A4E1A5" w:rsidR="0092322F" w:rsidRDefault="0092322F" w:rsidP="009232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6ECCF" id="_x0000_s1027" type="#_x0000_t202" style="position:absolute;left:0;text-align:left;margin-left:337.05pt;margin-top:1.05pt;width:151.1pt;height:23.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" filled="f" stroked="f">
                <v:textbox>
                  <w:txbxContent>
                    <w:p w14:paraId="20712938" w14:textId="7A9C9F8F" w:rsidR="00057C2C" w:rsidRPr="00057C2C" w:rsidRDefault="00057C2C" w:rsidP="00057C2C">
                      <w:pPr>
                        <w:jc w:val="center"/>
                        <w:rPr>
                          <w:b/>
                        </w:rPr>
                      </w:pPr>
                      <w:r w:rsidRPr="00057C2C">
                        <w:rPr>
                          <w:rFonts w:cs="SAS Monospace"/>
                          <w:b/>
                        </w:rPr>
                        <w:t>L</w:t>
                      </w:r>
                      <w:r>
                        <w:rPr>
                          <w:rFonts w:cs="SAS Monospace"/>
                          <w:b/>
                        </w:rPr>
                        <w:t>4</w:t>
                      </w:r>
                      <w:r w:rsidRPr="00057C2C">
                        <w:rPr>
                          <w:rFonts w:cs="SAS Monospace"/>
                          <w:b/>
                        </w:rPr>
                        <w:t xml:space="preserve">:  </w:t>
                      </w:r>
                      <w:r>
                        <w:rPr>
                          <w:rFonts w:cs="SAS Monospace"/>
                          <w:b/>
                        </w:rPr>
                        <w:t>SPEND</w:t>
                      </w:r>
                      <w:r>
                        <w:rPr>
                          <w:rFonts w:cs="SAS Monospace"/>
                          <w:b/>
                        </w:rPr>
                        <w:t xml:space="preserve"> VARIABLES</w:t>
                      </w:r>
                    </w:p>
                    <w:p w14:paraId="7E14E5DA" w14:textId="10A4E1A5" w:rsidR="0092322F" w:rsidRDefault="0092322F" w:rsidP="0092322F">
                      <w:pPr>
                        <w:jc w:val="center"/>
                      </w:pPr>
                    </w:p>
                  </w:txbxContent>
                </v:textbox>
                <w10:wrap type="square"/>
              </v:shape>
            </w:pict>
          </mc:Fallback>
        </mc:AlternateContent>
      </w:r>
    </w:p>
    <w:tbl>
      <w:tblPr>
        <w:tblStyle w:val="TableGrid"/>
        <w:tblpPr w:leftFromText="180" w:rightFromText="180" w:vertAnchor="text" w:horzAnchor="page" w:tblpX="910" w:tblpY="-5"/>
        <w:tblW w:w="0" w:type="auto"/>
        <w:tblLook w:val="04A0" w:firstRow="1" w:lastRow="0" w:firstColumn="1" w:lastColumn="0" w:noHBand="0" w:noVBand="1"/>
      </w:tblPr>
      <w:tblGrid>
        <w:gridCol w:w="5214"/>
      </w:tblGrid>
      <w:tr w:rsidR="00C011FE" w14:paraId="06E49330" w14:textId="77777777" w:rsidTr="00182490">
        <w:tc>
          <w:tcPr>
            <w:tcW w:w="5214" w:type="dxa"/>
          </w:tcPr>
          <w:p w14:paraId="6183586F" w14:textId="7ADD2BC4" w:rsidR="00C011FE" w:rsidRDefault="00C011FE" w:rsidP="00C011FE">
            <w:pPr>
              <w:jc w:val="center"/>
              <w:rPr>
                <w:rFonts w:cs="SAS Monospace"/>
              </w:rPr>
            </w:pPr>
            <w:r>
              <w:rPr>
                <w:rFonts w:cs="SAS Monospace"/>
              </w:rPr>
              <w:t>Percent of Roman Catholics</w:t>
            </w:r>
          </w:p>
        </w:tc>
      </w:tr>
      <w:tr w:rsidR="00C011FE" w14:paraId="3C2C0296" w14:textId="77777777" w:rsidTr="00182490">
        <w:tc>
          <w:tcPr>
            <w:tcW w:w="5214" w:type="dxa"/>
          </w:tcPr>
          <w:p w14:paraId="09EF4B64" w14:textId="77777777" w:rsidR="00C011FE" w:rsidRDefault="00C011FE" w:rsidP="00C011FE">
            <w:pPr>
              <w:jc w:val="center"/>
              <w:rPr>
                <w:rFonts w:cs="SAS Monospace"/>
              </w:rPr>
            </w:pPr>
            <w:r>
              <w:rPr>
                <w:rFonts w:cs="SAS Monospace"/>
              </w:rPr>
              <w:t>Percent of married people</w:t>
            </w:r>
          </w:p>
        </w:tc>
      </w:tr>
      <w:tr w:rsidR="00C011FE" w14:paraId="6DF055C0" w14:textId="77777777" w:rsidTr="00182490">
        <w:tc>
          <w:tcPr>
            <w:tcW w:w="5214" w:type="dxa"/>
          </w:tcPr>
          <w:p w14:paraId="7F6C045D" w14:textId="77777777" w:rsidR="00C011FE" w:rsidRDefault="00C011FE" w:rsidP="00C011FE">
            <w:pPr>
              <w:jc w:val="center"/>
              <w:rPr>
                <w:rFonts w:cs="SAS Monospace"/>
              </w:rPr>
            </w:pPr>
            <w:r>
              <w:rPr>
                <w:rFonts w:cs="SAS Monospace"/>
              </w:rPr>
              <w:t>Percent of people belonging to Social Class B2</w:t>
            </w:r>
          </w:p>
        </w:tc>
      </w:tr>
      <w:tr w:rsidR="00C011FE" w14:paraId="53E8203D" w14:textId="77777777" w:rsidTr="00182490">
        <w:tc>
          <w:tcPr>
            <w:tcW w:w="5214" w:type="dxa"/>
          </w:tcPr>
          <w:p w14:paraId="38168B3B" w14:textId="77777777" w:rsidR="00C011FE" w:rsidRDefault="00C011FE" w:rsidP="00C011FE">
            <w:pPr>
              <w:jc w:val="center"/>
              <w:rPr>
                <w:rFonts w:cs="SAS Monospace"/>
              </w:rPr>
            </w:pPr>
            <w:r>
              <w:rPr>
                <w:rFonts w:cs="SAS Monospace"/>
              </w:rPr>
              <w:t>Percent of households with children</w:t>
            </w:r>
          </w:p>
        </w:tc>
      </w:tr>
      <w:tr w:rsidR="00C011FE" w14:paraId="56239D3B" w14:textId="77777777" w:rsidTr="00182490">
        <w:trPr>
          <w:trHeight w:val="206"/>
        </w:trPr>
        <w:tc>
          <w:tcPr>
            <w:tcW w:w="5214" w:type="dxa"/>
          </w:tcPr>
          <w:p w14:paraId="0B299AC8" w14:textId="77777777" w:rsidR="00C011FE" w:rsidRDefault="00C011FE" w:rsidP="00C011FE">
            <w:pPr>
              <w:jc w:val="center"/>
              <w:rPr>
                <w:rFonts w:cs="SAS Monospace"/>
              </w:rPr>
            </w:pPr>
            <w:r>
              <w:rPr>
                <w:rFonts w:cs="SAS Monospace"/>
              </w:rPr>
              <w:t>Percent of Rented houses</w:t>
            </w:r>
          </w:p>
        </w:tc>
      </w:tr>
      <w:tr w:rsidR="00C011FE" w14:paraId="3D9BD8E2" w14:textId="77777777" w:rsidTr="00182490">
        <w:trPr>
          <w:trHeight w:val="206"/>
        </w:trPr>
        <w:tc>
          <w:tcPr>
            <w:tcW w:w="5214" w:type="dxa"/>
          </w:tcPr>
          <w:p w14:paraId="2F53D194" w14:textId="77777777" w:rsidR="00C011FE" w:rsidRDefault="00C011FE" w:rsidP="00C011FE">
            <w:pPr>
              <w:jc w:val="center"/>
              <w:rPr>
                <w:rFonts w:cs="SAS Monospace"/>
              </w:rPr>
            </w:pPr>
            <w:r>
              <w:rPr>
                <w:rFonts w:cs="SAS Monospace"/>
              </w:rPr>
              <w:t>Percent of people belonging to Social Class A</w:t>
            </w:r>
          </w:p>
        </w:tc>
      </w:tr>
      <w:tr w:rsidR="00C011FE" w14:paraId="7DBDFE06" w14:textId="77777777" w:rsidTr="00182490">
        <w:trPr>
          <w:trHeight w:val="233"/>
        </w:trPr>
        <w:tc>
          <w:tcPr>
            <w:tcW w:w="5214" w:type="dxa"/>
          </w:tcPr>
          <w:p w14:paraId="1EDC1FD5" w14:textId="77777777" w:rsidR="00C011FE" w:rsidRDefault="00C011FE" w:rsidP="00C011FE">
            <w:pPr>
              <w:jc w:val="center"/>
              <w:rPr>
                <w:rFonts w:cs="SAS Monospace"/>
              </w:rPr>
            </w:pPr>
            <w:r>
              <w:rPr>
                <w:rFonts w:cs="SAS Monospace"/>
              </w:rPr>
              <w:t>Percent of people with 2 cars</w:t>
            </w:r>
          </w:p>
        </w:tc>
      </w:tr>
      <w:tr w:rsidR="00C011FE" w14:paraId="007A17DE" w14:textId="77777777" w:rsidTr="00182490">
        <w:trPr>
          <w:trHeight w:val="305"/>
        </w:trPr>
        <w:tc>
          <w:tcPr>
            <w:tcW w:w="5214" w:type="dxa"/>
          </w:tcPr>
          <w:p w14:paraId="7CC72F9A" w14:textId="77777777" w:rsidR="00C011FE" w:rsidRDefault="00C011FE" w:rsidP="00C011FE">
            <w:pPr>
              <w:jc w:val="center"/>
              <w:rPr>
                <w:rFonts w:cs="SAS Monospace"/>
              </w:rPr>
            </w:pPr>
            <w:r>
              <w:rPr>
                <w:rFonts w:cs="SAS Monospace"/>
              </w:rPr>
              <w:t>Percent of Singles</w:t>
            </w:r>
          </w:p>
        </w:tc>
      </w:tr>
      <w:tr w:rsidR="00C011FE" w14:paraId="77E4D5E2" w14:textId="77777777" w:rsidTr="00182490">
        <w:trPr>
          <w:trHeight w:val="233"/>
        </w:trPr>
        <w:tc>
          <w:tcPr>
            <w:tcW w:w="5214" w:type="dxa"/>
          </w:tcPr>
          <w:p w14:paraId="66F248EF" w14:textId="22E67170" w:rsidR="00C011FE" w:rsidRDefault="00C011FE" w:rsidP="00C011FE">
            <w:pPr>
              <w:jc w:val="center"/>
              <w:rPr>
                <w:rFonts w:cs="SAS Monospace"/>
              </w:rPr>
            </w:pPr>
            <w:r>
              <w:rPr>
                <w:rFonts w:cs="SAS Monospace"/>
              </w:rPr>
              <w:t>Percent of people with 1 cars</w:t>
            </w:r>
          </w:p>
        </w:tc>
      </w:tr>
      <w:tr w:rsidR="00C011FE" w14:paraId="6E670C02" w14:textId="77777777" w:rsidTr="00182490">
        <w:trPr>
          <w:trHeight w:val="224"/>
        </w:trPr>
        <w:tc>
          <w:tcPr>
            <w:tcW w:w="5214" w:type="dxa"/>
          </w:tcPr>
          <w:p w14:paraId="20EE3B56" w14:textId="58CB0022" w:rsidR="00C011FE" w:rsidRDefault="00C011FE" w:rsidP="00C011FE">
            <w:pPr>
              <w:jc w:val="center"/>
              <w:rPr>
                <w:rFonts w:cs="SAS Monospace"/>
              </w:rPr>
            </w:pPr>
            <w:r>
              <w:rPr>
                <w:rFonts w:cs="SAS Monospace"/>
              </w:rPr>
              <w:t>Percent of people with the average income</w:t>
            </w:r>
          </w:p>
        </w:tc>
      </w:tr>
      <w:tr w:rsidR="00C011FE" w14:paraId="1F53A14F" w14:textId="77777777" w:rsidTr="00182490">
        <w:trPr>
          <w:trHeight w:val="224"/>
        </w:trPr>
        <w:tc>
          <w:tcPr>
            <w:tcW w:w="5214" w:type="dxa"/>
          </w:tcPr>
          <w:p w14:paraId="0244AAA8" w14:textId="60B15F6E" w:rsidR="00C011FE" w:rsidRDefault="00C011FE" w:rsidP="00C011FE">
            <w:pPr>
              <w:jc w:val="center"/>
              <w:rPr>
                <w:rFonts w:cs="SAS Monospace"/>
              </w:rPr>
            </w:pPr>
            <w:r>
              <w:rPr>
                <w:rFonts w:cs="SAS Monospace"/>
              </w:rPr>
              <w:t>Percent of people with a high level education</w:t>
            </w:r>
          </w:p>
        </w:tc>
      </w:tr>
      <w:tr w:rsidR="00C011FE" w14:paraId="121097B3" w14:textId="77777777" w:rsidTr="00182490">
        <w:trPr>
          <w:trHeight w:val="224"/>
        </w:trPr>
        <w:tc>
          <w:tcPr>
            <w:tcW w:w="5214" w:type="dxa"/>
          </w:tcPr>
          <w:p w14:paraId="666028F8" w14:textId="1D238501" w:rsidR="00C011FE" w:rsidRDefault="00C011FE" w:rsidP="00C011FE">
            <w:pPr>
              <w:jc w:val="center"/>
              <w:rPr>
                <w:rFonts w:cs="SAS Monospace"/>
              </w:rPr>
            </w:pPr>
            <w:r>
              <w:rPr>
                <w:rFonts w:cs="SAS Monospace"/>
              </w:rPr>
              <w:t>Percent of protestants</w:t>
            </w:r>
          </w:p>
        </w:tc>
      </w:tr>
      <w:tr w:rsidR="00C011FE" w14:paraId="6FA1CF5C" w14:textId="77777777" w:rsidTr="00182490">
        <w:trPr>
          <w:trHeight w:val="224"/>
        </w:trPr>
        <w:tc>
          <w:tcPr>
            <w:tcW w:w="5214" w:type="dxa"/>
          </w:tcPr>
          <w:p w14:paraId="21986D32" w14:textId="1616918B" w:rsidR="00C011FE" w:rsidRDefault="00C011FE" w:rsidP="00C011FE">
            <w:pPr>
              <w:jc w:val="center"/>
              <w:rPr>
                <w:rFonts w:cs="SAS Monospace"/>
              </w:rPr>
            </w:pPr>
            <w:r>
              <w:rPr>
                <w:rFonts w:cs="SAS Monospace"/>
              </w:rPr>
              <w:t>Percent of people with no cars</w:t>
            </w:r>
          </w:p>
        </w:tc>
      </w:tr>
      <w:tr w:rsidR="00C011FE" w14:paraId="7627CAD3" w14:textId="77777777" w:rsidTr="00182490">
        <w:trPr>
          <w:trHeight w:val="251"/>
        </w:trPr>
        <w:tc>
          <w:tcPr>
            <w:tcW w:w="5214" w:type="dxa"/>
          </w:tcPr>
          <w:p w14:paraId="2D9CDF1B" w14:textId="74D9B9D4" w:rsidR="00C011FE" w:rsidRDefault="00C011FE" w:rsidP="00C011FE">
            <w:pPr>
              <w:jc w:val="center"/>
              <w:rPr>
                <w:rFonts w:cs="SAS Monospace"/>
              </w:rPr>
            </w:pPr>
            <w:r>
              <w:rPr>
                <w:rFonts w:cs="SAS Monospace"/>
              </w:rPr>
              <w:t>Percent of people belonging to Social Class B1</w:t>
            </w:r>
          </w:p>
        </w:tc>
      </w:tr>
      <w:tr w:rsidR="00C011FE" w14:paraId="724E24B9" w14:textId="77777777" w:rsidTr="00182490">
        <w:trPr>
          <w:trHeight w:val="251"/>
        </w:trPr>
        <w:tc>
          <w:tcPr>
            <w:tcW w:w="5214" w:type="dxa"/>
          </w:tcPr>
          <w:p w14:paraId="6F9CED72" w14:textId="745232D0" w:rsidR="00C011FE" w:rsidRDefault="00C011FE" w:rsidP="00C011FE">
            <w:pPr>
              <w:jc w:val="center"/>
              <w:rPr>
                <w:rFonts w:cs="SAS Monospace"/>
              </w:rPr>
            </w:pPr>
            <w:r>
              <w:rPr>
                <w:rFonts w:cs="SAS Monospace"/>
              </w:rPr>
              <w:t>Percent of people belonging to Social Class C</w:t>
            </w:r>
          </w:p>
        </w:tc>
      </w:tr>
    </w:tbl>
    <w:tbl>
      <w:tblPr>
        <w:tblStyle w:val="TableGrid"/>
        <w:tblpPr w:leftFromText="180" w:rightFromText="180" w:vertAnchor="text" w:horzAnchor="page" w:tblpX="6491" w:tblpY="-5"/>
        <w:tblW w:w="0" w:type="auto"/>
        <w:tblLook w:val="04A0" w:firstRow="1" w:lastRow="0" w:firstColumn="1" w:lastColumn="0" w:noHBand="0" w:noVBand="1"/>
      </w:tblPr>
      <w:tblGrid>
        <w:gridCol w:w="5211"/>
      </w:tblGrid>
      <w:tr w:rsidR="0092322F" w14:paraId="0D723D26" w14:textId="77777777" w:rsidTr="00182490">
        <w:tc>
          <w:tcPr>
            <w:tcW w:w="5211" w:type="dxa"/>
          </w:tcPr>
          <w:p w14:paraId="19026F3D" w14:textId="700C797D" w:rsidR="0092322F" w:rsidRDefault="0092322F" w:rsidP="00182490">
            <w:pPr>
              <w:jc w:val="center"/>
              <w:rPr>
                <w:rFonts w:cs="SAS Monospace"/>
              </w:rPr>
            </w:pPr>
            <w:r w:rsidRPr="00047E32">
              <w:rPr>
                <w:rFonts w:cs="SAS Monospace"/>
              </w:rPr>
              <w:t>Contribution of trailer policies</w:t>
            </w:r>
          </w:p>
        </w:tc>
      </w:tr>
      <w:tr w:rsidR="00182490" w14:paraId="1438C500" w14:textId="77777777" w:rsidTr="00182490">
        <w:tc>
          <w:tcPr>
            <w:tcW w:w="5211" w:type="dxa"/>
          </w:tcPr>
          <w:p w14:paraId="72A08C71" w14:textId="271B5896" w:rsidR="0092322F" w:rsidRDefault="0092322F" w:rsidP="00182490">
            <w:pPr>
              <w:jc w:val="center"/>
              <w:rPr>
                <w:rFonts w:cs="SAS Monospace"/>
              </w:rPr>
            </w:pPr>
            <w:r>
              <w:rPr>
                <w:rFonts w:cs="SAS Monospace"/>
              </w:rPr>
              <w:t>Contribution of private third party insurance</w:t>
            </w:r>
          </w:p>
        </w:tc>
      </w:tr>
      <w:tr w:rsidR="00C011FE" w14:paraId="170405FA" w14:textId="77777777" w:rsidTr="00182490">
        <w:tc>
          <w:tcPr>
            <w:tcW w:w="5211" w:type="dxa"/>
          </w:tcPr>
          <w:p w14:paraId="60EA491F" w14:textId="3F75C5F8" w:rsidR="00C011FE" w:rsidRDefault="0092322F" w:rsidP="00182490">
            <w:pPr>
              <w:jc w:val="center"/>
              <w:rPr>
                <w:rFonts w:cs="SAS Monospace"/>
              </w:rPr>
            </w:pPr>
            <w:r>
              <w:rPr>
                <w:rFonts w:cs="SAS Monospace"/>
              </w:rPr>
              <w:t>Contribution of car policies</w:t>
            </w:r>
          </w:p>
        </w:tc>
      </w:tr>
    </w:tbl>
    <w:p w14:paraId="703066E8" w14:textId="77777777" w:rsidR="00C011FE" w:rsidRDefault="00C011FE" w:rsidP="005D1FAF">
      <w:pPr>
        <w:jc w:val="both"/>
        <w:rPr>
          <w:rFonts w:cs="SAS Monospace"/>
        </w:rPr>
      </w:pPr>
      <w:r>
        <w:rPr>
          <w:rFonts w:cs="SAS Monospace"/>
        </w:rPr>
        <w:t xml:space="preserve">           </w:t>
      </w:r>
    </w:p>
    <w:p w14:paraId="0C836256" w14:textId="22A52BC3" w:rsidR="00A55E53" w:rsidRDefault="00A55E53" w:rsidP="005D1FAF">
      <w:pPr>
        <w:jc w:val="both"/>
        <w:rPr>
          <w:rFonts w:cs="SAS Monospace"/>
        </w:rPr>
      </w:pPr>
    </w:p>
    <w:p w14:paraId="22C29542" w14:textId="6501D3F0" w:rsidR="00A55E53" w:rsidRDefault="00A55E53" w:rsidP="005D1FAF">
      <w:pPr>
        <w:jc w:val="both"/>
        <w:rPr>
          <w:rFonts w:cs="SAS Monospace"/>
        </w:rPr>
      </w:pPr>
    </w:p>
    <w:p w14:paraId="03BA1448" w14:textId="6B584B9E" w:rsidR="00C011FE" w:rsidRDefault="00C011FE" w:rsidP="000E39F7">
      <w:pPr>
        <w:jc w:val="center"/>
        <w:rPr>
          <w:rFonts w:cs="SAS Monospace"/>
        </w:rPr>
      </w:pPr>
    </w:p>
    <w:p w14:paraId="2BA28084" w14:textId="76D069DE" w:rsidR="00C011FE" w:rsidRDefault="00C05378" w:rsidP="00C011FE">
      <w:pPr>
        <w:jc w:val="center"/>
        <w:rPr>
          <w:rFonts w:cs="SAS Monospace"/>
        </w:rPr>
      </w:pPr>
      <w:r>
        <w:rPr>
          <w:rStyle w:val="CommentReference"/>
        </w:rPr>
        <w:commentReference w:id="8"/>
      </w:r>
    </w:p>
    <w:p w14:paraId="04BDEB91" w14:textId="7BD55D4B" w:rsidR="00C011FE" w:rsidRDefault="00C011FE" w:rsidP="00C011FE">
      <w:pPr>
        <w:jc w:val="center"/>
        <w:rPr>
          <w:rFonts w:cs="SAS Monospace"/>
        </w:rPr>
      </w:pPr>
    </w:p>
    <w:p w14:paraId="076B4071" w14:textId="10A3A8B2" w:rsidR="00C011FE" w:rsidRDefault="00C011FE" w:rsidP="005D1FAF">
      <w:pPr>
        <w:jc w:val="both"/>
        <w:rPr>
          <w:rFonts w:cs="SAS Monospace"/>
          <w:b/>
          <w:u w:val="single"/>
        </w:rPr>
      </w:pPr>
    </w:p>
    <w:p w14:paraId="32636D88" w14:textId="15D1727E" w:rsidR="00C011FE" w:rsidRDefault="00C011FE" w:rsidP="005D1FAF">
      <w:pPr>
        <w:jc w:val="both"/>
        <w:rPr>
          <w:rFonts w:cs="SAS Monospace"/>
          <w:b/>
          <w:u w:val="single"/>
        </w:rPr>
      </w:pPr>
    </w:p>
    <w:p w14:paraId="199FDF0A" w14:textId="2B39D0B0" w:rsidR="0092322F" w:rsidRDefault="0092322F" w:rsidP="0092322F">
      <w:pPr>
        <w:jc w:val="center"/>
        <w:rPr>
          <w:rFonts w:cs="SAS Monospace"/>
        </w:rPr>
      </w:pPr>
      <w:r w:rsidRPr="00F70C5D">
        <w:rPr>
          <w:rFonts w:cs="SAS Monospace"/>
        </w:rPr>
        <w:t xml:space="preserve">TABLE 4: </w:t>
      </w:r>
      <w:r>
        <w:rPr>
          <w:rFonts w:cs="SAS Monospace"/>
        </w:rPr>
        <w:t xml:space="preserve">Transformations for </w:t>
      </w:r>
      <w:r w:rsidRPr="00F70C5D">
        <w:rPr>
          <w:rFonts w:cs="SAS Monospace"/>
        </w:rPr>
        <w:t>Geo Demographic and Spend Variable</w:t>
      </w:r>
      <w:r>
        <w:rPr>
          <w:rFonts w:cs="SAS Monospace"/>
        </w:rPr>
        <w:t>s</w:t>
      </w:r>
    </w:p>
    <w:tbl>
      <w:tblPr>
        <w:tblStyle w:val="TableGrid"/>
        <w:tblpPr w:leftFromText="180" w:rightFromText="180" w:vertAnchor="page" w:horzAnchor="page" w:tblpX="910" w:tblpY="10805"/>
        <w:tblW w:w="0" w:type="auto"/>
        <w:tblLook w:val="04A0" w:firstRow="1" w:lastRow="0" w:firstColumn="1" w:lastColumn="0" w:noHBand="0" w:noVBand="1"/>
      </w:tblPr>
      <w:tblGrid>
        <w:gridCol w:w="1772"/>
        <w:gridCol w:w="1757"/>
        <w:gridCol w:w="1673"/>
      </w:tblGrid>
      <w:tr w:rsidR="0090608E" w14:paraId="78588F72" w14:textId="77777777" w:rsidTr="0092322F">
        <w:tc>
          <w:tcPr>
            <w:tcW w:w="1772" w:type="dxa"/>
          </w:tcPr>
          <w:p w14:paraId="037DCD1B" w14:textId="7DACF6CD" w:rsidR="0090608E" w:rsidRDefault="0090608E" w:rsidP="0090608E">
            <w:pPr>
              <w:jc w:val="both"/>
              <w:rPr>
                <w:rFonts w:cs="SAS Monospace"/>
              </w:rPr>
            </w:pPr>
            <w:r w:rsidRPr="0090608E">
              <w:rPr>
                <w:rFonts w:cs="SAS Monospace"/>
                <w:b/>
                <w:sz w:val="21"/>
                <w:szCs w:val="21"/>
              </w:rPr>
              <w:t>VARIABLE VALUE</w:t>
            </w:r>
          </w:p>
        </w:tc>
        <w:tc>
          <w:tcPr>
            <w:tcW w:w="1757" w:type="dxa"/>
          </w:tcPr>
          <w:p w14:paraId="0C322BC6" w14:textId="5F11849C" w:rsidR="0090608E" w:rsidRDefault="0090608E" w:rsidP="0090608E">
            <w:pPr>
              <w:jc w:val="both"/>
              <w:rPr>
                <w:rFonts w:cs="SAS Monospace"/>
              </w:rPr>
            </w:pPr>
            <w:r w:rsidRPr="0090608E">
              <w:rPr>
                <w:rFonts w:cs="SAS Monospace"/>
                <w:b/>
                <w:sz w:val="21"/>
                <w:szCs w:val="21"/>
              </w:rPr>
              <w:t>ORIGINAL VALUE</w:t>
            </w:r>
          </w:p>
        </w:tc>
        <w:tc>
          <w:tcPr>
            <w:tcW w:w="1673" w:type="dxa"/>
          </w:tcPr>
          <w:p w14:paraId="7BC60FC9" w14:textId="6BE2B22B" w:rsidR="0090608E" w:rsidRDefault="0090608E" w:rsidP="0090608E">
            <w:pPr>
              <w:jc w:val="both"/>
              <w:rPr>
                <w:rFonts w:cs="SAS Monospace"/>
              </w:rPr>
            </w:pPr>
            <w:r w:rsidRPr="0090608E">
              <w:rPr>
                <w:rFonts w:cs="SAS Monospace"/>
                <w:b/>
                <w:sz w:val="21"/>
                <w:szCs w:val="21"/>
              </w:rPr>
              <w:t>NEW VALUE</w:t>
            </w:r>
          </w:p>
        </w:tc>
      </w:tr>
      <w:tr w:rsidR="0092322F" w14:paraId="3EBB67D3" w14:textId="77777777" w:rsidTr="0092322F">
        <w:tc>
          <w:tcPr>
            <w:tcW w:w="1772" w:type="dxa"/>
          </w:tcPr>
          <w:p w14:paraId="78840B50" w14:textId="77777777" w:rsidR="0092322F" w:rsidRDefault="0092322F" w:rsidP="0092322F">
            <w:pPr>
              <w:jc w:val="both"/>
              <w:rPr>
                <w:rFonts w:cs="SAS Monospace"/>
              </w:rPr>
            </w:pPr>
            <w:r>
              <w:rPr>
                <w:rFonts w:cs="SAS Monospace"/>
              </w:rPr>
              <w:t>0%</w:t>
            </w:r>
          </w:p>
        </w:tc>
        <w:tc>
          <w:tcPr>
            <w:tcW w:w="1757" w:type="dxa"/>
          </w:tcPr>
          <w:p w14:paraId="7CB2E27C" w14:textId="77777777" w:rsidR="0092322F" w:rsidRDefault="0092322F" w:rsidP="0092322F">
            <w:pPr>
              <w:jc w:val="both"/>
              <w:rPr>
                <w:rFonts w:cs="SAS Monospace"/>
              </w:rPr>
            </w:pPr>
            <w:r>
              <w:rPr>
                <w:rFonts w:cs="SAS Monospace"/>
              </w:rPr>
              <w:t>0</w:t>
            </w:r>
          </w:p>
        </w:tc>
        <w:tc>
          <w:tcPr>
            <w:tcW w:w="1673" w:type="dxa"/>
          </w:tcPr>
          <w:p w14:paraId="75A7BAEF" w14:textId="77777777" w:rsidR="0092322F" w:rsidRDefault="0092322F" w:rsidP="0092322F">
            <w:pPr>
              <w:jc w:val="both"/>
              <w:rPr>
                <w:rFonts w:cs="SAS Monospace"/>
              </w:rPr>
            </w:pPr>
            <w:r>
              <w:rPr>
                <w:rFonts w:cs="SAS Monospace"/>
              </w:rPr>
              <w:t>0</w:t>
            </w:r>
          </w:p>
        </w:tc>
      </w:tr>
      <w:tr w:rsidR="0092322F" w14:paraId="740A203A" w14:textId="77777777" w:rsidTr="0092322F">
        <w:tc>
          <w:tcPr>
            <w:tcW w:w="1772" w:type="dxa"/>
          </w:tcPr>
          <w:p w14:paraId="368ACD04" w14:textId="77777777" w:rsidR="0092322F" w:rsidRDefault="0092322F" w:rsidP="0092322F">
            <w:pPr>
              <w:jc w:val="both"/>
              <w:rPr>
                <w:rFonts w:cs="SAS Monospace"/>
              </w:rPr>
            </w:pPr>
            <w:r>
              <w:rPr>
                <w:rFonts w:cs="SAS Monospace"/>
              </w:rPr>
              <w:t>1-10%</w:t>
            </w:r>
          </w:p>
        </w:tc>
        <w:tc>
          <w:tcPr>
            <w:tcW w:w="1757" w:type="dxa"/>
          </w:tcPr>
          <w:p w14:paraId="05E7D13F" w14:textId="77777777" w:rsidR="0092322F" w:rsidRDefault="0092322F" w:rsidP="0092322F">
            <w:pPr>
              <w:jc w:val="both"/>
              <w:rPr>
                <w:rFonts w:cs="SAS Monospace"/>
              </w:rPr>
            </w:pPr>
            <w:r>
              <w:rPr>
                <w:rFonts w:cs="SAS Monospace"/>
              </w:rPr>
              <w:t>1</w:t>
            </w:r>
          </w:p>
        </w:tc>
        <w:tc>
          <w:tcPr>
            <w:tcW w:w="1673" w:type="dxa"/>
          </w:tcPr>
          <w:p w14:paraId="2953199B" w14:textId="77777777" w:rsidR="0092322F" w:rsidRDefault="0092322F" w:rsidP="0092322F">
            <w:pPr>
              <w:jc w:val="both"/>
              <w:rPr>
                <w:rFonts w:cs="SAS Monospace"/>
              </w:rPr>
            </w:pPr>
            <w:r>
              <w:rPr>
                <w:rFonts w:cs="SAS Monospace"/>
              </w:rPr>
              <w:t>5.5</w:t>
            </w:r>
          </w:p>
        </w:tc>
      </w:tr>
      <w:tr w:rsidR="0092322F" w14:paraId="14707DB4" w14:textId="77777777" w:rsidTr="0092322F">
        <w:tc>
          <w:tcPr>
            <w:tcW w:w="1772" w:type="dxa"/>
          </w:tcPr>
          <w:p w14:paraId="438357DE" w14:textId="77777777" w:rsidR="0092322F" w:rsidRDefault="0092322F" w:rsidP="0092322F">
            <w:pPr>
              <w:jc w:val="both"/>
              <w:rPr>
                <w:rFonts w:cs="SAS Monospace"/>
              </w:rPr>
            </w:pPr>
            <w:r>
              <w:rPr>
                <w:rFonts w:cs="SAS Monospace"/>
              </w:rPr>
              <w:t>11-23%</w:t>
            </w:r>
          </w:p>
        </w:tc>
        <w:tc>
          <w:tcPr>
            <w:tcW w:w="1757" w:type="dxa"/>
          </w:tcPr>
          <w:p w14:paraId="20CEB0CC" w14:textId="77777777" w:rsidR="0092322F" w:rsidRDefault="0092322F" w:rsidP="0092322F">
            <w:pPr>
              <w:jc w:val="both"/>
              <w:rPr>
                <w:rFonts w:cs="SAS Monospace"/>
              </w:rPr>
            </w:pPr>
            <w:r>
              <w:rPr>
                <w:rFonts w:cs="SAS Monospace"/>
              </w:rPr>
              <w:t>2</w:t>
            </w:r>
          </w:p>
        </w:tc>
        <w:tc>
          <w:tcPr>
            <w:tcW w:w="1673" w:type="dxa"/>
          </w:tcPr>
          <w:p w14:paraId="34615116" w14:textId="77777777" w:rsidR="0092322F" w:rsidRDefault="0092322F" w:rsidP="0092322F">
            <w:pPr>
              <w:jc w:val="both"/>
              <w:rPr>
                <w:rFonts w:cs="SAS Monospace"/>
              </w:rPr>
            </w:pPr>
            <w:r>
              <w:rPr>
                <w:rFonts w:cs="SAS Monospace"/>
              </w:rPr>
              <w:t>17</w:t>
            </w:r>
          </w:p>
        </w:tc>
      </w:tr>
      <w:tr w:rsidR="0092322F" w14:paraId="0B42A38A" w14:textId="77777777" w:rsidTr="0092322F">
        <w:tc>
          <w:tcPr>
            <w:tcW w:w="1772" w:type="dxa"/>
          </w:tcPr>
          <w:p w14:paraId="3A932B85" w14:textId="77777777" w:rsidR="0092322F" w:rsidRDefault="0092322F" w:rsidP="0092322F">
            <w:pPr>
              <w:jc w:val="both"/>
              <w:rPr>
                <w:rFonts w:cs="SAS Monospace"/>
              </w:rPr>
            </w:pPr>
            <w:r>
              <w:rPr>
                <w:rFonts w:cs="SAS Monospace"/>
              </w:rPr>
              <w:t>24-36%</w:t>
            </w:r>
          </w:p>
        </w:tc>
        <w:tc>
          <w:tcPr>
            <w:tcW w:w="1757" w:type="dxa"/>
          </w:tcPr>
          <w:p w14:paraId="3AF971F2" w14:textId="77777777" w:rsidR="0092322F" w:rsidRDefault="0092322F" w:rsidP="0092322F">
            <w:pPr>
              <w:jc w:val="both"/>
              <w:rPr>
                <w:rFonts w:cs="SAS Monospace"/>
              </w:rPr>
            </w:pPr>
            <w:r>
              <w:rPr>
                <w:rFonts w:cs="SAS Monospace"/>
              </w:rPr>
              <w:t>3</w:t>
            </w:r>
          </w:p>
        </w:tc>
        <w:tc>
          <w:tcPr>
            <w:tcW w:w="1673" w:type="dxa"/>
          </w:tcPr>
          <w:p w14:paraId="0E952895" w14:textId="77777777" w:rsidR="0092322F" w:rsidRDefault="0092322F" w:rsidP="0092322F">
            <w:pPr>
              <w:jc w:val="both"/>
              <w:rPr>
                <w:rFonts w:cs="SAS Monospace"/>
              </w:rPr>
            </w:pPr>
            <w:r>
              <w:rPr>
                <w:rFonts w:cs="SAS Monospace"/>
              </w:rPr>
              <w:t>30</w:t>
            </w:r>
          </w:p>
        </w:tc>
      </w:tr>
      <w:tr w:rsidR="0092322F" w14:paraId="4572B165" w14:textId="77777777" w:rsidTr="0092322F">
        <w:trPr>
          <w:trHeight w:val="206"/>
        </w:trPr>
        <w:tc>
          <w:tcPr>
            <w:tcW w:w="1772" w:type="dxa"/>
          </w:tcPr>
          <w:p w14:paraId="16889C95" w14:textId="77777777" w:rsidR="0092322F" w:rsidRDefault="0092322F" w:rsidP="0092322F">
            <w:pPr>
              <w:jc w:val="both"/>
              <w:rPr>
                <w:rFonts w:cs="SAS Monospace"/>
              </w:rPr>
            </w:pPr>
            <w:r>
              <w:rPr>
                <w:rFonts w:cs="SAS Monospace"/>
              </w:rPr>
              <w:t>37-49%</w:t>
            </w:r>
          </w:p>
        </w:tc>
        <w:tc>
          <w:tcPr>
            <w:tcW w:w="1757" w:type="dxa"/>
          </w:tcPr>
          <w:p w14:paraId="11EBC37E" w14:textId="77777777" w:rsidR="0092322F" w:rsidRDefault="0092322F" w:rsidP="0092322F">
            <w:pPr>
              <w:jc w:val="both"/>
              <w:rPr>
                <w:rFonts w:cs="SAS Monospace"/>
              </w:rPr>
            </w:pPr>
            <w:r>
              <w:rPr>
                <w:rFonts w:cs="SAS Monospace"/>
              </w:rPr>
              <w:t>4</w:t>
            </w:r>
          </w:p>
        </w:tc>
        <w:tc>
          <w:tcPr>
            <w:tcW w:w="1673" w:type="dxa"/>
          </w:tcPr>
          <w:p w14:paraId="1CB77791" w14:textId="77777777" w:rsidR="0092322F" w:rsidRDefault="0092322F" w:rsidP="0092322F">
            <w:pPr>
              <w:jc w:val="both"/>
              <w:rPr>
                <w:rFonts w:cs="SAS Monospace"/>
              </w:rPr>
            </w:pPr>
            <w:r>
              <w:rPr>
                <w:rFonts w:cs="SAS Monospace"/>
              </w:rPr>
              <w:t>43</w:t>
            </w:r>
          </w:p>
        </w:tc>
      </w:tr>
      <w:tr w:rsidR="0092322F" w14:paraId="2E7BA321" w14:textId="77777777" w:rsidTr="0092322F">
        <w:trPr>
          <w:trHeight w:val="206"/>
        </w:trPr>
        <w:tc>
          <w:tcPr>
            <w:tcW w:w="1772" w:type="dxa"/>
          </w:tcPr>
          <w:p w14:paraId="5C0C409D" w14:textId="77777777" w:rsidR="0092322F" w:rsidRDefault="0092322F" w:rsidP="0092322F">
            <w:pPr>
              <w:jc w:val="both"/>
              <w:rPr>
                <w:rFonts w:cs="SAS Monospace"/>
              </w:rPr>
            </w:pPr>
            <w:r>
              <w:rPr>
                <w:rFonts w:cs="SAS Monospace"/>
              </w:rPr>
              <w:t>50-62%</w:t>
            </w:r>
          </w:p>
        </w:tc>
        <w:tc>
          <w:tcPr>
            <w:tcW w:w="1757" w:type="dxa"/>
          </w:tcPr>
          <w:p w14:paraId="5D17A777" w14:textId="77777777" w:rsidR="0092322F" w:rsidRDefault="0092322F" w:rsidP="0092322F">
            <w:pPr>
              <w:jc w:val="both"/>
              <w:rPr>
                <w:rFonts w:cs="SAS Monospace"/>
              </w:rPr>
            </w:pPr>
            <w:r>
              <w:rPr>
                <w:rFonts w:cs="SAS Monospace"/>
              </w:rPr>
              <w:t>5</w:t>
            </w:r>
          </w:p>
        </w:tc>
        <w:tc>
          <w:tcPr>
            <w:tcW w:w="1673" w:type="dxa"/>
          </w:tcPr>
          <w:p w14:paraId="6F8077AA" w14:textId="77777777" w:rsidR="0092322F" w:rsidRDefault="0092322F" w:rsidP="0092322F">
            <w:pPr>
              <w:jc w:val="both"/>
              <w:rPr>
                <w:rFonts w:cs="SAS Monospace"/>
              </w:rPr>
            </w:pPr>
            <w:r>
              <w:rPr>
                <w:rFonts w:cs="SAS Monospace"/>
              </w:rPr>
              <w:t>56</w:t>
            </w:r>
          </w:p>
        </w:tc>
      </w:tr>
      <w:tr w:rsidR="0092322F" w14:paraId="5CA61BFD" w14:textId="77777777" w:rsidTr="0092322F">
        <w:trPr>
          <w:trHeight w:val="233"/>
        </w:trPr>
        <w:tc>
          <w:tcPr>
            <w:tcW w:w="1772" w:type="dxa"/>
          </w:tcPr>
          <w:p w14:paraId="582DF1E4" w14:textId="77777777" w:rsidR="0092322F" w:rsidRDefault="0092322F" w:rsidP="0092322F">
            <w:pPr>
              <w:jc w:val="both"/>
              <w:rPr>
                <w:rFonts w:cs="SAS Monospace"/>
              </w:rPr>
            </w:pPr>
            <w:r>
              <w:rPr>
                <w:rFonts w:cs="SAS Monospace"/>
              </w:rPr>
              <w:t>63-75%</w:t>
            </w:r>
          </w:p>
        </w:tc>
        <w:tc>
          <w:tcPr>
            <w:tcW w:w="1757" w:type="dxa"/>
          </w:tcPr>
          <w:p w14:paraId="75A5ADEA" w14:textId="77777777" w:rsidR="0092322F" w:rsidRDefault="0092322F" w:rsidP="0092322F">
            <w:pPr>
              <w:jc w:val="both"/>
              <w:rPr>
                <w:rFonts w:cs="SAS Monospace"/>
              </w:rPr>
            </w:pPr>
            <w:r>
              <w:rPr>
                <w:rFonts w:cs="SAS Monospace"/>
              </w:rPr>
              <w:t>6</w:t>
            </w:r>
          </w:p>
        </w:tc>
        <w:tc>
          <w:tcPr>
            <w:tcW w:w="1673" w:type="dxa"/>
          </w:tcPr>
          <w:p w14:paraId="700DCE09" w14:textId="77777777" w:rsidR="0092322F" w:rsidRDefault="0092322F" w:rsidP="0092322F">
            <w:pPr>
              <w:jc w:val="both"/>
              <w:rPr>
                <w:rFonts w:cs="SAS Monospace"/>
              </w:rPr>
            </w:pPr>
            <w:r>
              <w:rPr>
                <w:rFonts w:cs="SAS Monospace"/>
              </w:rPr>
              <w:t>69</w:t>
            </w:r>
          </w:p>
        </w:tc>
      </w:tr>
      <w:tr w:rsidR="0092322F" w14:paraId="6CB2137C" w14:textId="77777777" w:rsidTr="0092322F">
        <w:trPr>
          <w:trHeight w:val="305"/>
        </w:trPr>
        <w:tc>
          <w:tcPr>
            <w:tcW w:w="1772" w:type="dxa"/>
          </w:tcPr>
          <w:p w14:paraId="6B8CA854" w14:textId="77777777" w:rsidR="0092322F" w:rsidRDefault="0092322F" w:rsidP="0092322F">
            <w:pPr>
              <w:jc w:val="both"/>
              <w:rPr>
                <w:rFonts w:cs="SAS Monospace"/>
              </w:rPr>
            </w:pPr>
            <w:r>
              <w:rPr>
                <w:rFonts w:cs="SAS Monospace"/>
              </w:rPr>
              <w:t>76-88%</w:t>
            </w:r>
          </w:p>
        </w:tc>
        <w:tc>
          <w:tcPr>
            <w:tcW w:w="1757" w:type="dxa"/>
          </w:tcPr>
          <w:p w14:paraId="0E227C2E" w14:textId="77777777" w:rsidR="0092322F" w:rsidRDefault="0092322F" w:rsidP="0092322F">
            <w:pPr>
              <w:jc w:val="both"/>
              <w:rPr>
                <w:rFonts w:cs="SAS Monospace"/>
              </w:rPr>
            </w:pPr>
            <w:r>
              <w:rPr>
                <w:rFonts w:cs="SAS Monospace"/>
              </w:rPr>
              <w:t>7</w:t>
            </w:r>
          </w:p>
        </w:tc>
        <w:tc>
          <w:tcPr>
            <w:tcW w:w="1673" w:type="dxa"/>
          </w:tcPr>
          <w:p w14:paraId="5C02A649" w14:textId="77777777" w:rsidR="0092322F" w:rsidRDefault="0092322F" w:rsidP="0092322F">
            <w:pPr>
              <w:jc w:val="both"/>
              <w:rPr>
                <w:rFonts w:cs="SAS Monospace"/>
              </w:rPr>
            </w:pPr>
            <w:r>
              <w:rPr>
                <w:rFonts w:cs="SAS Monospace"/>
              </w:rPr>
              <w:t>82</w:t>
            </w:r>
          </w:p>
        </w:tc>
      </w:tr>
      <w:tr w:rsidR="0092322F" w14:paraId="1E76F0B7" w14:textId="77777777" w:rsidTr="0092322F">
        <w:trPr>
          <w:trHeight w:val="233"/>
        </w:trPr>
        <w:tc>
          <w:tcPr>
            <w:tcW w:w="1772" w:type="dxa"/>
          </w:tcPr>
          <w:p w14:paraId="06A27B81" w14:textId="77777777" w:rsidR="0092322F" w:rsidRDefault="0092322F" w:rsidP="0092322F">
            <w:pPr>
              <w:jc w:val="both"/>
              <w:rPr>
                <w:rFonts w:cs="SAS Monospace"/>
              </w:rPr>
            </w:pPr>
            <w:r>
              <w:rPr>
                <w:rFonts w:cs="SAS Monospace"/>
              </w:rPr>
              <w:t>89-99%</w:t>
            </w:r>
          </w:p>
        </w:tc>
        <w:tc>
          <w:tcPr>
            <w:tcW w:w="1757" w:type="dxa"/>
          </w:tcPr>
          <w:p w14:paraId="2268B64B" w14:textId="77777777" w:rsidR="0092322F" w:rsidRDefault="0092322F" w:rsidP="0092322F">
            <w:pPr>
              <w:jc w:val="both"/>
              <w:rPr>
                <w:rFonts w:cs="SAS Monospace"/>
              </w:rPr>
            </w:pPr>
            <w:r>
              <w:rPr>
                <w:rFonts w:cs="SAS Monospace"/>
              </w:rPr>
              <w:t>8</w:t>
            </w:r>
          </w:p>
        </w:tc>
        <w:tc>
          <w:tcPr>
            <w:tcW w:w="1673" w:type="dxa"/>
          </w:tcPr>
          <w:p w14:paraId="26261817" w14:textId="77777777" w:rsidR="0092322F" w:rsidRDefault="0092322F" w:rsidP="0092322F">
            <w:pPr>
              <w:jc w:val="both"/>
              <w:rPr>
                <w:rFonts w:cs="SAS Monospace"/>
              </w:rPr>
            </w:pPr>
            <w:r>
              <w:rPr>
                <w:rFonts w:cs="SAS Monospace"/>
              </w:rPr>
              <w:t>94</w:t>
            </w:r>
          </w:p>
        </w:tc>
      </w:tr>
      <w:tr w:rsidR="0092322F" w14:paraId="76141D94" w14:textId="77777777" w:rsidTr="0092322F">
        <w:trPr>
          <w:trHeight w:val="224"/>
        </w:trPr>
        <w:tc>
          <w:tcPr>
            <w:tcW w:w="1772" w:type="dxa"/>
          </w:tcPr>
          <w:p w14:paraId="53FD6576" w14:textId="77777777" w:rsidR="0092322F" w:rsidRDefault="0092322F" w:rsidP="0092322F">
            <w:pPr>
              <w:jc w:val="both"/>
              <w:rPr>
                <w:rFonts w:cs="SAS Monospace"/>
              </w:rPr>
            </w:pPr>
            <w:r>
              <w:rPr>
                <w:rFonts w:cs="SAS Monospace"/>
              </w:rPr>
              <w:t>100%</w:t>
            </w:r>
          </w:p>
        </w:tc>
        <w:tc>
          <w:tcPr>
            <w:tcW w:w="1757" w:type="dxa"/>
          </w:tcPr>
          <w:p w14:paraId="3B2A368F" w14:textId="77777777" w:rsidR="0092322F" w:rsidRDefault="0092322F" w:rsidP="0092322F">
            <w:pPr>
              <w:jc w:val="both"/>
              <w:rPr>
                <w:rFonts w:cs="SAS Monospace"/>
              </w:rPr>
            </w:pPr>
            <w:r>
              <w:rPr>
                <w:rFonts w:cs="SAS Monospace"/>
              </w:rPr>
              <w:t>9</w:t>
            </w:r>
          </w:p>
        </w:tc>
        <w:tc>
          <w:tcPr>
            <w:tcW w:w="1673" w:type="dxa"/>
          </w:tcPr>
          <w:p w14:paraId="5D7BEBDB" w14:textId="77777777" w:rsidR="0092322F" w:rsidRDefault="0092322F" w:rsidP="0092322F">
            <w:pPr>
              <w:jc w:val="both"/>
              <w:rPr>
                <w:rFonts w:cs="SAS Monospace"/>
              </w:rPr>
            </w:pPr>
            <w:r>
              <w:rPr>
                <w:rFonts w:cs="SAS Monospace"/>
              </w:rPr>
              <w:t>100</w:t>
            </w:r>
          </w:p>
        </w:tc>
      </w:tr>
    </w:tbl>
    <w:tbl>
      <w:tblPr>
        <w:tblStyle w:val="TableGrid"/>
        <w:tblpPr w:leftFromText="180" w:rightFromText="180" w:vertAnchor="text" w:horzAnchor="page" w:tblpX="6490" w:tblpY="577"/>
        <w:tblW w:w="0" w:type="auto"/>
        <w:tblLook w:val="04A0" w:firstRow="1" w:lastRow="0" w:firstColumn="1" w:lastColumn="0" w:noHBand="0" w:noVBand="1"/>
      </w:tblPr>
      <w:tblGrid>
        <w:gridCol w:w="1772"/>
        <w:gridCol w:w="1757"/>
        <w:gridCol w:w="1673"/>
      </w:tblGrid>
      <w:tr w:rsidR="0090608E" w14:paraId="4908D051" w14:textId="77777777" w:rsidTr="0092322F">
        <w:tc>
          <w:tcPr>
            <w:tcW w:w="1772" w:type="dxa"/>
          </w:tcPr>
          <w:p w14:paraId="282E84F4" w14:textId="1719D177" w:rsidR="0090608E" w:rsidRPr="0090608E" w:rsidRDefault="0090608E" w:rsidP="0090608E">
            <w:pPr>
              <w:jc w:val="both"/>
              <w:rPr>
                <w:rFonts w:cs="SAS Monospace"/>
                <w:b/>
                <w:sz w:val="21"/>
                <w:szCs w:val="21"/>
              </w:rPr>
            </w:pPr>
            <w:r w:rsidRPr="0090608E">
              <w:rPr>
                <w:rFonts w:cs="SAS Monospace"/>
                <w:b/>
                <w:sz w:val="21"/>
                <w:szCs w:val="21"/>
              </w:rPr>
              <w:t>VARIABLE VALUE</w:t>
            </w:r>
          </w:p>
        </w:tc>
        <w:tc>
          <w:tcPr>
            <w:tcW w:w="1757" w:type="dxa"/>
          </w:tcPr>
          <w:p w14:paraId="1BAF4F7F" w14:textId="1FC7C981" w:rsidR="0090608E" w:rsidRPr="0090608E" w:rsidRDefault="0090608E" w:rsidP="0090608E">
            <w:pPr>
              <w:jc w:val="both"/>
              <w:rPr>
                <w:rFonts w:cs="SAS Monospace"/>
                <w:b/>
                <w:sz w:val="21"/>
                <w:szCs w:val="21"/>
              </w:rPr>
            </w:pPr>
            <w:r w:rsidRPr="0090608E">
              <w:rPr>
                <w:rFonts w:cs="SAS Monospace"/>
                <w:b/>
                <w:sz w:val="21"/>
                <w:szCs w:val="21"/>
              </w:rPr>
              <w:t>ORIGINAL VALUE</w:t>
            </w:r>
          </w:p>
        </w:tc>
        <w:tc>
          <w:tcPr>
            <w:tcW w:w="1673" w:type="dxa"/>
          </w:tcPr>
          <w:p w14:paraId="2F898039" w14:textId="247E8E21" w:rsidR="0090608E" w:rsidRPr="0090608E" w:rsidRDefault="0090608E" w:rsidP="0090608E">
            <w:pPr>
              <w:jc w:val="both"/>
              <w:rPr>
                <w:rFonts w:cs="SAS Monospace"/>
                <w:b/>
                <w:sz w:val="21"/>
                <w:szCs w:val="21"/>
              </w:rPr>
            </w:pPr>
            <w:r w:rsidRPr="0090608E">
              <w:rPr>
                <w:rFonts w:cs="SAS Monospace"/>
                <w:b/>
                <w:sz w:val="21"/>
                <w:szCs w:val="21"/>
              </w:rPr>
              <w:t>NEW VALUE</w:t>
            </w:r>
          </w:p>
        </w:tc>
      </w:tr>
      <w:tr w:rsidR="0092322F" w14:paraId="4E6AF33C" w14:textId="77777777" w:rsidTr="0092322F">
        <w:tc>
          <w:tcPr>
            <w:tcW w:w="1772" w:type="dxa"/>
          </w:tcPr>
          <w:p w14:paraId="722C8372" w14:textId="77777777" w:rsidR="0092322F" w:rsidRDefault="0092322F" w:rsidP="0092322F">
            <w:pPr>
              <w:jc w:val="both"/>
              <w:rPr>
                <w:rFonts w:cs="SAS Monospace"/>
              </w:rPr>
            </w:pPr>
            <w:r>
              <w:rPr>
                <w:rFonts w:cs="SAS Monospace"/>
              </w:rPr>
              <w:t>0$</w:t>
            </w:r>
          </w:p>
        </w:tc>
        <w:tc>
          <w:tcPr>
            <w:tcW w:w="1757" w:type="dxa"/>
          </w:tcPr>
          <w:p w14:paraId="30BBAC51" w14:textId="77777777" w:rsidR="0092322F" w:rsidRDefault="0092322F" w:rsidP="0092322F">
            <w:pPr>
              <w:jc w:val="both"/>
              <w:rPr>
                <w:rFonts w:cs="SAS Monospace"/>
              </w:rPr>
            </w:pPr>
            <w:r>
              <w:rPr>
                <w:rFonts w:cs="SAS Monospace"/>
              </w:rPr>
              <w:t>0</w:t>
            </w:r>
          </w:p>
        </w:tc>
        <w:tc>
          <w:tcPr>
            <w:tcW w:w="1673" w:type="dxa"/>
          </w:tcPr>
          <w:p w14:paraId="2ACE7BAA" w14:textId="77777777" w:rsidR="0092322F" w:rsidRDefault="0092322F" w:rsidP="0092322F">
            <w:pPr>
              <w:jc w:val="both"/>
              <w:rPr>
                <w:rFonts w:cs="SAS Monospace"/>
              </w:rPr>
            </w:pPr>
            <w:r>
              <w:rPr>
                <w:rFonts w:cs="SAS Monospace"/>
              </w:rPr>
              <w:t>0</w:t>
            </w:r>
          </w:p>
        </w:tc>
      </w:tr>
      <w:tr w:rsidR="0092322F" w14:paraId="5C9085F6" w14:textId="77777777" w:rsidTr="0092322F">
        <w:tc>
          <w:tcPr>
            <w:tcW w:w="1772" w:type="dxa"/>
          </w:tcPr>
          <w:p w14:paraId="780233C3" w14:textId="77777777" w:rsidR="0092322F" w:rsidRDefault="0092322F" w:rsidP="0092322F">
            <w:pPr>
              <w:jc w:val="both"/>
              <w:rPr>
                <w:rFonts w:cs="SAS Monospace"/>
              </w:rPr>
            </w:pPr>
            <w:r>
              <w:rPr>
                <w:rFonts w:cs="SAS Monospace"/>
              </w:rPr>
              <w:t>1-49$</w:t>
            </w:r>
          </w:p>
        </w:tc>
        <w:tc>
          <w:tcPr>
            <w:tcW w:w="1757" w:type="dxa"/>
          </w:tcPr>
          <w:p w14:paraId="0788C06C" w14:textId="77777777" w:rsidR="0092322F" w:rsidRDefault="0092322F" w:rsidP="0092322F">
            <w:pPr>
              <w:jc w:val="both"/>
              <w:rPr>
                <w:rFonts w:cs="SAS Monospace"/>
              </w:rPr>
            </w:pPr>
            <w:r>
              <w:rPr>
                <w:rFonts w:cs="SAS Monospace"/>
              </w:rPr>
              <w:t>1</w:t>
            </w:r>
          </w:p>
        </w:tc>
        <w:tc>
          <w:tcPr>
            <w:tcW w:w="1673" w:type="dxa"/>
          </w:tcPr>
          <w:p w14:paraId="244A9706" w14:textId="77777777" w:rsidR="0092322F" w:rsidRDefault="0092322F" w:rsidP="0092322F">
            <w:pPr>
              <w:jc w:val="both"/>
              <w:rPr>
                <w:rFonts w:cs="SAS Monospace"/>
              </w:rPr>
            </w:pPr>
            <w:r>
              <w:rPr>
                <w:rFonts w:cs="SAS Monospace"/>
              </w:rPr>
              <w:t>25</w:t>
            </w:r>
          </w:p>
        </w:tc>
      </w:tr>
      <w:tr w:rsidR="0092322F" w14:paraId="75557A2A" w14:textId="77777777" w:rsidTr="0092322F">
        <w:tc>
          <w:tcPr>
            <w:tcW w:w="1772" w:type="dxa"/>
          </w:tcPr>
          <w:p w14:paraId="2F7024D5" w14:textId="77777777" w:rsidR="0092322F" w:rsidRDefault="0092322F" w:rsidP="0092322F">
            <w:pPr>
              <w:jc w:val="both"/>
              <w:rPr>
                <w:rFonts w:cs="SAS Monospace"/>
              </w:rPr>
            </w:pPr>
            <w:r>
              <w:rPr>
                <w:rFonts w:cs="SAS Monospace"/>
              </w:rPr>
              <w:t>50-99$</w:t>
            </w:r>
          </w:p>
        </w:tc>
        <w:tc>
          <w:tcPr>
            <w:tcW w:w="1757" w:type="dxa"/>
          </w:tcPr>
          <w:p w14:paraId="7C41B985" w14:textId="77777777" w:rsidR="0092322F" w:rsidRDefault="0092322F" w:rsidP="0092322F">
            <w:pPr>
              <w:jc w:val="both"/>
              <w:rPr>
                <w:rFonts w:cs="SAS Monospace"/>
              </w:rPr>
            </w:pPr>
            <w:r>
              <w:rPr>
                <w:rFonts w:cs="SAS Monospace"/>
              </w:rPr>
              <w:t>2</w:t>
            </w:r>
          </w:p>
        </w:tc>
        <w:tc>
          <w:tcPr>
            <w:tcW w:w="1673" w:type="dxa"/>
          </w:tcPr>
          <w:p w14:paraId="007721BA" w14:textId="77777777" w:rsidR="0092322F" w:rsidRDefault="0092322F" w:rsidP="0092322F">
            <w:pPr>
              <w:jc w:val="both"/>
              <w:rPr>
                <w:rFonts w:cs="SAS Monospace"/>
              </w:rPr>
            </w:pPr>
            <w:r>
              <w:rPr>
                <w:rFonts w:cs="SAS Monospace"/>
              </w:rPr>
              <w:t>75</w:t>
            </w:r>
          </w:p>
        </w:tc>
      </w:tr>
      <w:tr w:rsidR="0092322F" w14:paraId="468CA7C8" w14:textId="77777777" w:rsidTr="0092322F">
        <w:tc>
          <w:tcPr>
            <w:tcW w:w="1772" w:type="dxa"/>
          </w:tcPr>
          <w:p w14:paraId="6B3C93CB" w14:textId="77777777" w:rsidR="0092322F" w:rsidRDefault="0092322F" w:rsidP="0092322F">
            <w:pPr>
              <w:jc w:val="both"/>
              <w:rPr>
                <w:rFonts w:cs="SAS Monospace"/>
              </w:rPr>
            </w:pPr>
            <w:r>
              <w:rPr>
                <w:rFonts w:cs="SAS Monospace"/>
              </w:rPr>
              <w:t>100-199$</w:t>
            </w:r>
          </w:p>
        </w:tc>
        <w:tc>
          <w:tcPr>
            <w:tcW w:w="1757" w:type="dxa"/>
          </w:tcPr>
          <w:p w14:paraId="0DFEC5C4" w14:textId="77777777" w:rsidR="0092322F" w:rsidRDefault="0092322F" w:rsidP="0092322F">
            <w:pPr>
              <w:jc w:val="both"/>
              <w:rPr>
                <w:rFonts w:cs="SAS Monospace"/>
              </w:rPr>
            </w:pPr>
            <w:r>
              <w:rPr>
                <w:rFonts w:cs="SAS Monospace"/>
              </w:rPr>
              <w:t>3</w:t>
            </w:r>
          </w:p>
        </w:tc>
        <w:tc>
          <w:tcPr>
            <w:tcW w:w="1673" w:type="dxa"/>
          </w:tcPr>
          <w:p w14:paraId="01F59CCA" w14:textId="77777777" w:rsidR="0092322F" w:rsidRDefault="0092322F" w:rsidP="0092322F">
            <w:pPr>
              <w:jc w:val="both"/>
              <w:rPr>
                <w:rFonts w:cs="SAS Monospace"/>
              </w:rPr>
            </w:pPr>
            <w:r>
              <w:rPr>
                <w:rFonts w:cs="SAS Monospace"/>
              </w:rPr>
              <w:t>150</w:t>
            </w:r>
          </w:p>
        </w:tc>
      </w:tr>
      <w:tr w:rsidR="0092322F" w14:paraId="39ED3622" w14:textId="77777777" w:rsidTr="0092322F">
        <w:trPr>
          <w:trHeight w:val="206"/>
        </w:trPr>
        <w:tc>
          <w:tcPr>
            <w:tcW w:w="1772" w:type="dxa"/>
          </w:tcPr>
          <w:p w14:paraId="1D0D788E" w14:textId="77777777" w:rsidR="0092322F" w:rsidRDefault="0092322F" w:rsidP="0092322F">
            <w:pPr>
              <w:jc w:val="both"/>
              <w:rPr>
                <w:rFonts w:cs="SAS Monospace"/>
              </w:rPr>
            </w:pPr>
            <w:r>
              <w:rPr>
                <w:rFonts w:cs="SAS Monospace"/>
              </w:rPr>
              <w:t>200-499$</w:t>
            </w:r>
          </w:p>
        </w:tc>
        <w:tc>
          <w:tcPr>
            <w:tcW w:w="1757" w:type="dxa"/>
          </w:tcPr>
          <w:p w14:paraId="28D6A259" w14:textId="77777777" w:rsidR="0092322F" w:rsidRDefault="0092322F" w:rsidP="0092322F">
            <w:pPr>
              <w:jc w:val="both"/>
              <w:rPr>
                <w:rFonts w:cs="SAS Monospace"/>
              </w:rPr>
            </w:pPr>
            <w:r>
              <w:rPr>
                <w:rFonts w:cs="SAS Monospace"/>
              </w:rPr>
              <w:t>4</w:t>
            </w:r>
          </w:p>
        </w:tc>
        <w:tc>
          <w:tcPr>
            <w:tcW w:w="1673" w:type="dxa"/>
          </w:tcPr>
          <w:p w14:paraId="4D1F041A" w14:textId="77777777" w:rsidR="0092322F" w:rsidRDefault="0092322F" w:rsidP="0092322F">
            <w:pPr>
              <w:jc w:val="both"/>
              <w:rPr>
                <w:rFonts w:cs="SAS Monospace"/>
              </w:rPr>
            </w:pPr>
            <w:r>
              <w:rPr>
                <w:rFonts w:cs="SAS Monospace"/>
              </w:rPr>
              <w:t>350</w:t>
            </w:r>
          </w:p>
        </w:tc>
      </w:tr>
      <w:tr w:rsidR="0092322F" w14:paraId="3C1D8478" w14:textId="77777777" w:rsidTr="0092322F">
        <w:trPr>
          <w:trHeight w:val="206"/>
        </w:trPr>
        <w:tc>
          <w:tcPr>
            <w:tcW w:w="1772" w:type="dxa"/>
          </w:tcPr>
          <w:p w14:paraId="5C428447" w14:textId="77777777" w:rsidR="0092322F" w:rsidRDefault="0092322F" w:rsidP="0092322F">
            <w:pPr>
              <w:jc w:val="both"/>
              <w:rPr>
                <w:rFonts w:cs="SAS Monospace"/>
              </w:rPr>
            </w:pPr>
            <w:r>
              <w:rPr>
                <w:rFonts w:cs="SAS Monospace"/>
              </w:rPr>
              <w:t>500-999$</w:t>
            </w:r>
          </w:p>
        </w:tc>
        <w:tc>
          <w:tcPr>
            <w:tcW w:w="1757" w:type="dxa"/>
          </w:tcPr>
          <w:p w14:paraId="7ED96E08" w14:textId="77777777" w:rsidR="0092322F" w:rsidRDefault="0092322F" w:rsidP="0092322F">
            <w:pPr>
              <w:jc w:val="both"/>
              <w:rPr>
                <w:rFonts w:cs="SAS Monospace"/>
              </w:rPr>
            </w:pPr>
            <w:r>
              <w:rPr>
                <w:rFonts w:cs="SAS Monospace"/>
              </w:rPr>
              <w:t>5</w:t>
            </w:r>
          </w:p>
        </w:tc>
        <w:tc>
          <w:tcPr>
            <w:tcW w:w="1673" w:type="dxa"/>
          </w:tcPr>
          <w:p w14:paraId="765F2BBA" w14:textId="77777777" w:rsidR="0092322F" w:rsidRDefault="0092322F" w:rsidP="0092322F">
            <w:pPr>
              <w:jc w:val="both"/>
              <w:rPr>
                <w:rFonts w:cs="SAS Monospace"/>
              </w:rPr>
            </w:pPr>
            <w:r>
              <w:rPr>
                <w:rFonts w:cs="SAS Monospace"/>
              </w:rPr>
              <w:t>750</w:t>
            </w:r>
          </w:p>
        </w:tc>
      </w:tr>
      <w:tr w:rsidR="0092322F" w14:paraId="5936B898" w14:textId="77777777" w:rsidTr="0092322F">
        <w:trPr>
          <w:trHeight w:val="233"/>
        </w:trPr>
        <w:tc>
          <w:tcPr>
            <w:tcW w:w="1772" w:type="dxa"/>
          </w:tcPr>
          <w:p w14:paraId="536FB9D9" w14:textId="77777777" w:rsidR="0092322F" w:rsidRDefault="0092322F" w:rsidP="0092322F">
            <w:pPr>
              <w:jc w:val="both"/>
              <w:rPr>
                <w:rFonts w:cs="SAS Monospace"/>
              </w:rPr>
            </w:pPr>
            <w:r>
              <w:rPr>
                <w:rFonts w:cs="SAS Monospace"/>
              </w:rPr>
              <w:t>1000-4999$</w:t>
            </w:r>
          </w:p>
        </w:tc>
        <w:tc>
          <w:tcPr>
            <w:tcW w:w="1757" w:type="dxa"/>
          </w:tcPr>
          <w:p w14:paraId="003993E6" w14:textId="77777777" w:rsidR="0092322F" w:rsidRDefault="0092322F" w:rsidP="0092322F">
            <w:pPr>
              <w:jc w:val="both"/>
              <w:rPr>
                <w:rFonts w:cs="SAS Monospace"/>
              </w:rPr>
            </w:pPr>
            <w:r>
              <w:rPr>
                <w:rFonts w:cs="SAS Monospace"/>
              </w:rPr>
              <w:t>6</w:t>
            </w:r>
          </w:p>
        </w:tc>
        <w:tc>
          <w:tcPr>
            <w:tcW w:w="1673" w:type="dxa"/>
          </w:tcPr>
          <w:p w14:paraId="3BEB9EC5" w14:textId="77777777" w:rsidR="0092322F" w:rsidRDefault="0092322F" w:rsidP="0092322F">
            <w:pPr>
              <w:jc w:val="both"/>
              <w:rPr>
                <w:rFonts w:cs="SAS Monospace"/>
              </w:rPr>
            </w:pPr>
            <w:r>
              <w:rPr>
                <w:rFonts w:cs="SAS Monospace"/>
              </w:rPr>
              <w:t>3000</w:t>
            </w:r>
          </w:p>
        </w:tc>
      </w:tr>
      <w:tr w:rsidR="0092322F" w14:paraId="2C449B83" w14:textId="77777777" w:rsidTr="0092322F">
        <w:trPr>
          <w:trHeight w:val="305"/>
        </w:trPr>
        <w:tc>
          <w:tcPr>
            <w:tcW w:w="1772" w:type="dxa"/>
          </w:tcPr>
          <w:p w14:paraId="23547CF5" w14:textId="77777777" w:rsidR="0092322F" w:rsidRDefault="0092322F" w:rsidP="0092322F">
            <w:pPr>
              <w:jc w:val="both"/>
              <w:rPr>
                <w:rFonts w:cs="SAS Monospace"/>
              </w:rPr>
            </w:pPr>
            <w:r>
              <w:rPr>
                <w:rFonts w:cs="SAS Monospace"/>
              </w:rPr>
              <w:t>5000-9999$</w:t>
            </w:r>
          </w:p>
        </w:tc>
        <w:tc>
          <w:tcPr>
            <w:tcW w:w="1757" w:type="dxa"/>
          </w:tcPr>
          <w:p w14:paraId="7B4A7F65" w14:textId="77777777" w:rsidR="0092322F" w:rsidRDefault="0092322F" w:rsidP="0092322F">
            <w:pPr>
              <w:jc w:val="both"/>
              <w:rPr>
                <w:rFonts w:cs="SAS Monospace"/>
              </w:rPr>
            </w:pPr>
            <w:r>
              <w:rPr>
                <w:rFonts w:cs="SAS Monospace"/>
              </w:rPr>
              <w:t>7</w:t>
            </w:r>
          </w:p>
        </w:tc>
        <w:tc>
          <w:tcPr>
            <w:tcW w:w="1673" w:type="dxa"/>
          </w:tcPr>
          <w:p w14:paraId="74062EF6" w14:textId="77777777" w:rsidR="0092322F" w:rsidRDefault="0092322F" w:rsidP="0092322F">
            <w:pPr>
              <w:jc w:val="both"/>
              <w:rPr>
                <w:rFonts w:cs="SAS Monospace"/>
              </w:rPr>
            </w:pPr>
            <w:r>
              <w:rPr>
                <w:rFonts w:cs="SAS Monospace"/>
              </w:rPr>
              <w:t>7,500</w:t>
            </w:r>
          </w:p>
        </w:tc>
      </w:tr>
      <w:tr w:rsidR="0092322F" w14:paraId="08D60437" w14:textId="77777777" w:rsidTr="0092322F">
        <w:trPr>
          <w:trHeight w:val="233"/>
        </w:trPr>
        <w:tc>
          <w:tcPr>
            <w:tcW w:w="1772" w:type="dxa"/>
          </w:tcPr>
          <w:p w14:paraId="5F0ECC13" w14:textId="77777777" w:rsidR="0092322F" w:rsidRDefault="0092322F" w:rsidP="0092322F">
            <w:pPr>
              <w:jc w:val="both"/>
              <w:rPr>
                <w:rFonts w:cs="SAS Monospace"/>
              </w:rPr>
            </w:pPr>
            <w:r>
              <w:rPr>
                <w:rFonts w:cs="SAS Monospace"/>
              </w:rPr>
              <w:t>10,000-19,999$</w:t>
            </w:r>
          </w:p>
        </w:tc>
        <w:tc>
          <w:tcPr>
            <w:tcW w:w="1757" w:type="dxa"/>
          </w:tcPr>
          <w:p w14:paraId="55B7ECC9" w14:textId="77777777" w:rsidR="0092322F" w:rsidRDefault="0092322F" w:rsidP="0092322F">
            <w:pPr>
              <w:jc w:val="both"/>
              <w:rPr>
                <w:rFonts w:cs="SAS Monospace"/>
              </w:rPr>
            </w:pPr>
            <w:r>
              <w:rPr>
                <w:rFonts w:cs="SAS Monospace"/>
              </w:rPr>
              <w:t>8</w:t>
            </w:r>
          </w:p>
        </w:tc>
        <w:tc>
          <w:tcPr>
            <w:tcW w:w="1673" w:type="dxa"/>
          </w:tcPr>
          <w:p w14:paraId="0C03CCD7" w14:textId="77777777" w:rsidR="0092322F" w:rsidRDefault="0092322F" w:rsidP="0092322F">
            <w:pPr>
              <w:jc w:val="both"/>
              <w:rPr>
                <w:rFonts w:cs="SAS Monospace"/>
              </w:rPr>
            </w:pPr>
            <w:r>
              <w:rPr>
                <w:rFonts w:cs="SAS Monospace"/>
              </w:rPr>
              <w:t>15,000</w:t>
            </w:r>
          </w:p>
        </w:tc>
      </w:tr>
      <w:tr w:rsidR="0092322F" w14:paraId="7EF796CF" w14:textId="77777777" w:rsidTr="0092322F">
        <w:trPr>
          <w:trHeight w:val="224"/>
        </w:trPr>
        <w:tc>
          <w:tcPr>
            <w:tcW w:w="1772" w:type="dxa"/>
          </w:tcPr>
          <w:p w14:paraId="156C56A0" w14:textId="77777777" w:rsidR="0092322F" w:rsidRDefault="0092322F" w:rsidP="0092322F">
            <w:pPr>
              <w:jc w:val="both"/>
              <w:rPr>
                <w:rFonts w:cs="SAS Monospace"/>
              </w:rPr>
            </w:pPr>
            <w:r>
              <w:rPr>
                <w:rFonts w:cs="SAS Monospace"/>
              </w:rPr>
              <w:t>20,000-?</w:t>
            </w:r>
          </w:p>
        </w:tc>
        <w:tc>
          <w:tcPr>
            <w:tcW w:w="1757" w:type="dxa"/>
          </w:tcPr>
          <w:p w14:paraId="7843E4C7" w14:textId="77777777" w:rsidR="0092322F" w:rsidRDefault="0092322F" w:rsidP="0092322F">
            <w:pPr>
              <w:jc w:val="both"/>
              <w:rPr>
                <w:rFonts w:cs="SAS Monospace"/>
              </w:rPr>
            </w:pPr>
            <w:r>
              <w:rPr>
                <w:rFonts w:cs="SAS Monospace"/>
              </w:rPr>
              <w:t>9</w:t>
            </w:r>
          </w:p>
        </w:tc>
        <w:tc>
          <w:tcPr>
            <w:tcW w:w="1673" w:type="dxa"/>
          </w:tcPr>
          <w:p w14:paraId="5FACB062" w14:textId="77777777" w:rsidR="0092322F" w:rsidRDefault="0092322F" w:rsidP="0092322F">
            <w:pPr>
              <w:jc w:val="both"/>
              <w:rPr>
                <w:rFonts w:cs="SAS Monospace"/>
              </w:rPr>
            </w:pPr>
            <w:r>
              <w:rPr>
                <w:rFonts w:cs="SAS Monospace"/>
              </w:rPr>
              <w:t>30,000</w:t>
            </w:r>
          </w:p>
        </w:tc>
      </w:tr>
    </w:tbl>
    <w:p w14:paraId="2B6DD1D9" w14:textId="4C348B03" w:rsidR="00C011FE" w:rsidRDefault="00057C2C" w:rsidP="005D1FAF">
      <w:pPr>
        <w:jc w:val="both"/>
        <w:rPr>
          <w:rFonts w:cs="SAS Monospace"/>
          <w:b/>
          <w:u w:val="single"/>
        </w:rPr>
      </w:pPr>
      <w:r w:rsidRPr="000E39F7">
        <w:rPr>
          <w:rFonts w:cs="SAS Monospace"/>
          <w:noProof/>
        </w:rPr>
        <mc:AlternateContent>
          <mc:Choice Requires="wps">
            <w:drawing>
              <wp:anchor distT="45720" distB="45720" distL="114300" distR="114300" simplePos="0" relativeHeight="251662336" behindDoc="0" locked="0" layoutInCell="1" allowOverlap="1" wp14:anchorId="4EC1F339" wp14:editId="1119ED06">
                <wp:simplePos x="0" y="0"/>
                <wp:positionH relativeFrom="column">
                  <wp:posOffset>394335</wp:posOffset>
                </wp:positionH>
                <wp:positionV relativeFrom="paragraph">
                  <wp:posOffset>26035</wp:posOffset>
                </wp:positionV>
                <wp:extent cx="2378075" cy="2978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075" cy="297815"/>
                        </a:xfrm>
                        <a:prstGeom prst="rect">
                          <a:avLst/>
                        </a:prstGeom>
                        <a:noFill/>
                        <a:ln w="9525">
                          <a:noFill/>
                          <a:miter lim="800000"/>
                          <a:headEnd/>
                          <a:tailEnd/>
                        </a:ln>
                      </wps:spPr>
                      <wps:txbx>
                        <w:txbxContent>
                          <w:p w14:paraId="7F683CD2" w14:textId="5A3BA074" w:rsidR="00057C2C" w:rsidRPr="00057C2C" w:rsidRDefault="00057C2C" w:rsidP="00057C2C">
                            <w:pPr>
                              <w:jc w:val="center"/>
                              <w:rPr>
                                <w:b/>
                              </w:rPr>
                            </w:pPr>
                            <w:r w:rsidRPr="00057C2C">
                              <w:rPr>
                                <w:rFonts w:cs="SAS Monospace"/>
                                <w:b/>
                              </w:rPr>
                              <w:t xml:space="preserve">L3:  </w:t>
                            </w:r>
                            <w:r>
                              <w:rPr>
                                <w:rFonts w:cs="SAS Monospace"/>
                                <w:b/>
                              </w:rPr>
                              <w:t>GEO_DEMOGRAPHIC FORMAT</w:t>
                            </w:r>
                          </w:p>
                          <w:p w14:paraId="0A8BD0B0" w14:textId="16D4DE7E" w:rsidR="00A55E53" w:rsidRDefault="00A55E53" w:rsidP="000E39F7">
                            <w:pPr>
                              <w:jc w:val="center"/>
                            </w:pPr>
                            <w:r>
                              <w:rPr>
                                <w:rFonts w:cs="SAS Monospace"/>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1F339" id="_x0000_s1028" type="#_x0000_t202" style="position:absolute;left:0;text-align:left;margin-left:31.05pt;margin-top:2.05pt;width:187.25pt;height:2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" filled="f" stroked="f">
                <v:textbox>
                  <w:txbxContent>
                    <w:p w14:paraId="7F683CD2" w14:textId="5A3BA074" w:rsidR="00057C2C" w:rsidRPr="00057C2C" w:rsidRDefault="00057C2C" w:rsidP="00057C2C">
                      <w:pPr>
                        <w:jc w:val="center"/>
                        <w:rPr>
                          <w:b/>
                        </w:rPr>
                      </w:pPr>
                      <w:r w:rsidRPr="00057C2C">
                        <w:rPr>
                          <w:rFonts w:cs="SAS Monospace"/>
                          <w:b/>
                        </w:rPr>
                        <w:t xml:space="preserve">L3:  </w:t>
                      </w:r>
                      <w:r>
                        <w:rPr>
                          <w:rFonts w:cs="SAS Monospace"/>
                          <w:b/>
                        </w:rPr>
                        <w:t>GEO_DEMOGRAPHIC FORMAT</w:t>
                      </w:r>
                    </w:p>
                    <w:p w14:paraId="0A8BD0B0" w14:textId="16D4DE7E" w:rsidR="00A55E53" w:rsidRDefault="00A55E53" w:rsidP="000E39F7">
                      <w:pPr>
                        <w:jc w:val="center"/>
                      </w:pPr>
                      <w:r>
                        <w:rPr>
                          <w:rFonts w:cs="SAS Monospace"/>
                        </w:rPr>
                        <w:t>t</w:t>
                      </w:r>
                    </w:p>
                  </w:txbxContent>
                </v:textbox>
                <w10:wrap type="square"/>
              </v:shape>
            </w:pict>
          </mc:Fallback>
        </mc:AlternateContent>
      </w:r>
      <w:r w:rsidR="0092322F" w:rsidRPr="000E39F7">
        <w:rPr>
          <w:rFonts w:cs="SAS Monospace"/>
          <w:noProof/>
        </w:rPr>
        <mc:AlternateContent>
          <mc:Choice Requires="wps">
            <w:drawing>
              <wp:anchor distT="45720" distB="45720" distL="114300" distR="114300" simplePos="0" relativeHeight="251664384" behindDoc="0" locked="0" layoutInCell="1" allowOverlap="1" wp14:anchorId="4D3E7AE3" wp14:editId="16C5DBBE">
                <wp:simplePos x="0" y="0"/>
                <wp:positionH relativeFrom="column">
                  <wp:posOffset>4396740</wp:posOffset>
                </wp:positionH>
                <wp:positionV relativeFrom="paragraph">
                  <wp:posOffset>23495</wp:posOffset>
                </wp:positionV>
                <wp:extent cx="1918970" cy="29781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970" cy="297815"/>
                        </a:xfrm>
                        <a:prstGeom prst="rect">
                          <a:avLst/>
                        </a:prstGeom>
                        <a:noFill/>
                        <a:ln w="9525">
                          <a:noFill/>
                          <a:miter lim="800000"/>
                          <a:headEnd/>
                          <a:tailEnd/>
                        </a:ln>
                      </wps:spPr>
                      <wps:txbx>
                        <w:txbxContent>
                          <w:p w14:paraId="481CEF7A" w14:textId="584450A0" w:rsidR="00057C2C" w:rsidRPr="00057C2C" w:rsidRDefault="00057C2C" w:rsidP="00057C2C">
                            <w:pPr>
                              <w:jc w:val="center"/>
                              <w:rPr>
                                <w:b/>
                              </w:rPr>
                            </w:pPr>
                            <w:r w:rsidRPr="00057C2C">
                              <w:rPr>
                                <w:rFonts w:cs="SAS Monospace"/>
                                <w:b/>
                              </w:rPr>
                              <w:t>L</w:t>
                            </w:r>
                            <w:r>
                              <w:rPr>
                                <w:rFonts w:cs="SAS Monospace"/>
                                <w:b/>
                              </w:rPr>
                              <w:t>4</w:t>
                            </w:r>
                            <w:r w:rsidRPr="00057C2C">
                              <w:rPr>
                                <w:rFonts w:cs="SAS Monospace"/>
                                <w:b/>
                              </w:rPr>
                              <w:t xml:space="preserve">:  </w:t>
                            </w:r>
                            <w:r>
                              <w:rPr>
                                <w:rFonts w:cs="SAS Monospace"/>
                                <w:b/>
                              </w:rPr>
                              <w:t>SPEND FORMAT</w:t>
                            </w:r>
                          </w:p>
                          <w:p w14:paraId="152EA9F8" w14:textId="31DEB6F0" w:rsidR="00A55E53" w:rsidRDefault="00A55E53" w:rsidP="000E39F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E7AE3" id="_x0000_s1029" type="#_x0000_t202" style="position:absolute;left:0;text-align:left;margin-left:346.2pt;margin-top:1.85pt;width:151.1pt;height:23.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" filled="f" stroked="f">
                <v:textbox>
                  <w:txbxContent>
                    <w:p w14:paraId="481CEF7A" w14:textId="584450A0" w:rsidR="00057C2C" w:rsidRPr="00057C2C" w:rsidRDefault="00057C2C" w:rsidP="00057C2C">
                      <w:pPr>
                        <w:jc w:val="center"/>
                        <w:rPr>
                          <w:b/>
                        </w:rPr>
                      </w:pPr>
                      <w:r w:rsidRPr="00057C2C">
                        <w:rPr>
                          <w:rFonts w:cs="SAS Monospace"/>
                          <w:b/>
                        </w:rPr>
                        <w:t>L</w:t>
                      </w:r>
                      <w:r>
                        <w:rPr>
                          <w:rFonts w:cs="SAS Monospace"/>
                          <w:b/>
                        </w:rPr>
                        <w:t>4</w:t>
                      </w:r>
                      <w:r w:rsidRPr="00057C2C">
                        <w:rPr>
                          <w:rFonts w:cs="SAS Monospace"/>
                          <w:b/>
                        </w:rPr>
                        <w:t xml:space="preserve">:  </w:t>
                      </w:r>
                      <w:r>
                        <w:rPr>
                          <w:rFonts w:cs="SAS Monospace"/>
                          <w:b/>
                        </w:rPr>
                        <w:t>SPEND</w:t>
                      </w:r>
                      <w:r>
                        <w:rPr>
                          <w:rFonts w:cs="SAS Monospace"/>
                          <w:b/>
                        </w:rPr>
                        <w:t xml:space="preserve"> FORMAT</w:t>
                      </w:r>
                    </w:p>
                    <w:p w14:paraId="152EA9F8" w14:textId="31DEB6F0" w:rsidR="00A55E53" w:rsidRDefault="00A55E53" w:rsidP="000E39F7">
                      <w:pPr>
                        <w:jc w:val="center"/>
                      </w:pPr>
                    </w:p>
                  </w:txbxContent>
                </v:textbox>
                <w10:wrap type="square"/>
              </v:shape>
            </w:pict>
          </mc:Fallback>
        </mc:AlternateContent>
      </w:r>
    </w:p>
    <w:p w14:paraId="7A18283A" w14:textId="77777777" w:rsidR="0092322F" w:rsidRDefault="0092322F" w:rsidP="005D1FAF">
      <w:pPr>
        <w:jc w:val="both"/>
        <w:rPr>
          <w:rFonts w:cs="SAS Monospace"/>
          <w:b/>
          <w:u w:val="single"/>
        </w:rPr>
      </w:pPr>
    </w:p>
    <w:p w14:paraId="0BCC3B4D" w14:textId="77777777" w:rsidR="0092322F" w:rsidRDefault="0092322F" w:rsidP="005D1FAF">
      <w:pPr>
        <w:jc w:val="both"/>
        <w:rPr>
          <w:rFonts w:cs="SAS Monospace"/>
          <w:b/>
          <w:u w:val="single"/>
        </w:rPr>
      </w:pPr>
      <w:bookmarkStart w:id="9" w:name="_GoBack"/>
      <w:bookmarkEnd w:id="9"/>
    </w:p>
    <w:p w14:paraId="3715F028" w14:textId="3CF4E24A" w:rsidR="00362667" w:rsidRDefault="00C05378" w:rsidP="005D1FAF">
      <w:pPr>
        <w:jc w:val="both"/>
        <w:rPr>
          <w:rFonts w:cs="SAS Monospace"/>
        </w:rPr>
      </w:pPr>
      <w:r w:rsidRPr="001D3756">
        <w:rPr>
          <w:rFonts w:cs="SAS Monospace"/>
          <w:b/>
          <w:u w:val="single"/>
        </w:rPr>
        <w:lastRenderedPageBreak/>
        <w:t>Categorical Variables</w:t>
      </w:r>
      <w:r w:rsidRPr="001D3756">
        <w:rPr>
          <w:rFonts w:cs="SAS Monospace"/>
          <w:b/>
        </w:rPr>
        <w:t>.</w:t>
      </w:r>
      <w:r>
        <w:rPr>
          <w:rFonts w:cs="SAS Monospace"/>
        </w:rPr>
        <w:t xml:space="preserve">  </w:t>
      </w:r>
      <w:r w:rsidR="00362667" w:rsidRPr="00624A97">
        <w:rPr>
          <w:rFonts w:cs="SAS Monospace"/>
        </w:rPr>
        <w:t>Two categorical variables were inclu</w:t>
      </w:r>
      <w:r w:rsidR="001432B2">
        <w:rPr>
          <w:rFonts w:cs="SAS Monospace"/>
        </w:rPr>
        <w:t>ded in the original file.  The variables</w:t>
      </w:r>
      <w:r w:rsidR="00362667" w:rsidRPr="00624A97">
        <w:rPr>
          <w:rFonts w:cs="SAS Monospace"/>
        </w:rPr>
        <w:t xml:space="preserve"> were</w:t>
      </w:r>
      <w:r w:rsidR="001432B2">
        <w:rPr>
          <w:rFonts w:cs="SAS Monospace"/>
        </w:rPr>
        <w:t>:</w:t>
      </w:r>
      <w:r w:rsidR="00362667" w:rsidRPr="00624A97">
        <w:rPr>
          <w:rFonts w:cs="SAS Monospace"/>
        </w:rPr>
        <w:t xml:space="preserve"> </w:t>
      </w:r>
      <w:r w:rsidR="001432B2">
        <w:rPr>
          <w:rFonts w:cs="SAS Monospace"/>
        </w:rPr>
        <w:t>Customer main type and Customer subtype</w:t>
      </w:r>
      <w:r w:rsidR="00362667" w:rsidRPr="00624A97">
        <w:rPr>
          <w:rFonts w:cs="SAS Monospace"/>
        </w:rPr>
        <w:t>. We convert</w:t>
      </w:r>
      <w:r w:rsidR="001432B2">
        <w:rPr>
          <w:rFonts w:cs="SAS Monospace"/>
        </w:rPr>
        <w:t>ed</w:t>
      </w:r>
      <w:r w:rsidR="00362667" w:rsidRPr="00624A97">
        <w:rPr>
          <w:rFonts w:cs="SAS Monospace"/>
        </w:rPr>
        <w:t xml:space="preserve"> the categorical variables into binary variables so that th</w:t>
      </w:r>
      <w:r w:rsidR="001432B2">
        <w:rPr>
          <w:rFonts w:cs="SAS Monospace"/>
        </w:rPr>
        <w:t xml:space="preserve">ey could be used in the model. </w:t>
      </w:r>
      <w:r w:rsidR="00362667" w:rsidRPr="00624A97">
        <w:rPr>
          <w:rFonts w:cs="SAS Monospace"/>
        </w:rPr>
        <w:t>For example</w:t>
      </w:r>
      <w:r w:rsidR="000E39F7">
        <w:rPr>
          <w:rFonts w:cs="SAS Monospace"/>
        </w:rPr>
        <w:t>,</w:t>
      </w:r>
      <w:r w:rsidR="00362667" w:rsidRPr="00624A97">
        <w:rPr>
          <w:rFonts w:cs="SAS Monospace"/>
        </w:rPr>
        <w:t xml:space="preserve"> records where </w:t>
      </w:r>
      <w:r w:rsidR="001432B2">
        <w:rPr>
          <w:rFonts w:cs="SAS Monospace"/>
        </w:rPr>
        <w:t>Customer main type was equal to 1 (</w:t>
      </w:r>
      <w:r w:rsidR="00362667" w:rsidRPr="00624A97">
        <w:rPr>
          <w:rFonts w:cs="SAS Monospace"/>
        </w:rPr>
        <w:t>Customer was a successful hedonist</w:t>
      </w:r>
      <w:r w:rsidR="001432B2">
        <w:rPr>
          <w:rFonts w:cs="SAS Monospace"/>
        </w:rPr>
        <w:t xml:space="preserve">), </w:t>
      </w:r>
      <w:r w:rsidR="00362667" w:rsidRPr="00624A97">
        <w:rPr>
          <w:rFonts w:cs="SAS Monospace"/>
        </w:rPr>
        <w:t xml:space="preserve">a new binary variable </w:t>
      </w:r>
      <w:r w:rsidR="0051230E">
        <w:rPr>
          <w:rFonts w:cs="SAS Monospace"/>
        </w:rPr>
        <w:t>was generated</w:t>
      </w:r>
      <w:r w:rsidR="000E39F7">
        <w:rPr>
          <w:rFonts w:cs="SAS Monospace"/>
        </w:rPr>
        <w:t>, which</w:t>
      </w:r>
      <w:r w:rsidR="00362667" w:rsidRPr="00624A97">
        <w:rPr>
          <w:rFonts w:cs="SAS Monospace"/>
        </w:rPr>
        <w:t xml:space="preserve"> </w:t>
      </w:r>
      <w:r w:rsidR="0051230E">
        <w:rPr>
          <w:rFonts w:cs="SAS Monospace"/>
        </w:rPr>
        <w:t xml:space="preserve">was </w:t>
      </w:r>
      <w:r w:rsidR="00362667" w:rsidRPr="00624A97">
        <w:rPr>
          <w:rFonts w:cs="SAS Monospace"/>
        </w:rPr>
        <w:t xml:space="preserve">equal to 1 for Customers belonging to the successful hedonist segment and </w:t>
      </w:r>
      <w:r w:rsidR="0051230E">
        <w:rPr>
          <w:rFonts w:cs="SAS Monospace"/>
        </w:rPr>
        <w:t>was</w:t>
      </w:r>
      <w:r w:rsidR="00362667" w:rsidRPr="00624A97">
        <w:rPr>
          <w:rFonts w:cs="SAS Monospace"/>
        </w:rPr>
        <w:t xml:space="preserve"> equal to 0 otherwise.</w:t>
      </w:r>
    </w:p>
    <w:p w14:paraId="3542009A" w14:textId="186373BA" w:rsidR="0098136A" w:rsidRPr="00C011FE" w:rsidRDefault="00C05378" w:rsidP="005D1FAF">
      <w:pPr>
        <w:jc w:val="both"/>
        <w:rPr>
          <w:rFonts w:cs="SAS Monospace"/>
          <w:b/>
        </w:rPr>
      </w:pPr>
      <w:r w:rsidRPr="001D3756">
        <w:rPr>
          <w:rFonts w:cs="SAS Monospace"/>
          <w:b/>
          <w:u w:val="single"/>
        </w:rPr>
        <w:t>Holdout Sample</w:t>
      </w:r>
      <w:r w:rsidRPr="001D3756">
        <w:rPr>
          <w:rFonts w:cs="SAS Monospace"/>
          <w:b/>
        </w:rPr>
        <w:t>.</w:t>
      </w:r>
      <w:r>
        <w:rPr>
          <w:rFonts w:cs="SAS Monospace"/>
        </w:rPr>
        <w:t xml:space="preserve">  </w:t>
      </w:r>
      <w:r w:rsidR="00362667">
        <w:rPr>
          <w:rFonts w:cs="SAS Monospace"/>
        </w:rPr>
        <w:t xml:space="preserve">We assigned 30% of the data as a holdout sample to check how the model built on the analysis sample works on the unseen data. If the model does not work on the holdout sample, then the analysis sample was over-fit. That means the model found out relationships that exist in one sample but not in another. </w:t>
      </w:r>
      <w:r w:rsidR="0092322F">
        <w:rPr>
          <w:rFonts w:cs="SAS Monospace"/>
        </w:rPr>
        <w:t>T</w:t>
      </w:r>
      <w:r w:rsidR="00362667">
        <w:rPr>
          <w:rFonts w:cs="SAS Monospace"/>
        </w:rPr>
        <w:t xml:space="preserve">he performance on the holdout sample is an estimate of the performance of the model on </w:t>
      </w:r>
      <w:r w:rsidR="00182490">
        <w:rPr>
          <w:rFonts w:cs="SAS Monospace"/>
        </w:rPr>
        <w:t>unseen data in the future use. In the business memo, all the performance metrics that are mentioned were calculated based on results from the model that was built on the holdout sample.</w:t>
      </w:r>
      <w:r w:rsidR="00362667">
        <w:rPr>
          <w:rFonts w:cs="SAS Monospace"/>
        </w:rPr>
        <w:t xml:space="preserve"> </w:t>
      </w:r>
    </w:p>
    <w:p w14:paraId="69E9089F" w14:textId="69C3823B" w:rsidR="00C3202A" w:rsidRDefault="00C05378" w:rsidP="005D1FAF">
      <w:pPr>
        <w:jc w:val="both"/>
        <w:rPr>
          <w:rFonts w:cs="SAS Monospace"/>
        </w:rPr>
      </w:pPr>
      <w:r w:rsidRPr="001D3756">
        <w:rPr>
          <w:rFonts w:cs="SAS Monospace"/>
          <w:b/>
          <w:u w:val="single"/>
        </w:rPr>
        <w:t>Non-Linear Relationships.</w:t>
      </w:r>
      <w:r>
        <w:rPr>
          <w:rFonts w:cs="SAS Monospace"/>
        </w:rPr>
        <w:t xml:space="preserve">  </w:t>
      </w:r>
      <w:r w:rsidR="00F70C5D">
        <w:rPr>
          <w:rFonts w:cs="SAS Monospace"/>
        </w:rPr>
        <w:t>Graphs showing the response rate for each of the quantitative variables were generated and analyzed.  For those variables that appeared to have a non-linear relationship with response we transformed them to new variables exhibiting a quadratic or absolute relationship. For example, the graph</w:t>
      </w:r>
      <w:r w:rsidR="001432B2">
        <w:rPr>
          <w:rFonts w:cs="SAS Monospace"/>
        </w:rPr>
        <w:t>s below show</w:t>
      </w:r>
      <w:r w:rsidR="00F70C5D">
        <w:rPr>
          <w:rFonts w:cs="SAS Monospace"/>
        </w:rPr>
        <w:t xml:space="preserve"> the pat</w:t>
      </w:r>
      <w:r w:rsidR="001432B2">
        <w:rPr>
          <w:rFonts w:cs="SAS Monospace"/>
        </w:rPr>
        <w:t>tern of response rate by the variables: Percent of Roman Catholics, Contribution of trailer policies and Number of third party insurance policies</w:t>
      </w:r>
      <w:r w:rsidR="00F70C5D">
        <w:rPr>
          <w:rFonts w:cs="SAS Monospace"/>
        </w:rPr>
        <w:t>.  The pat</w:t>
      </w:r>
      <w:r w:rsidR="001432B2">
        <w:rPr>
          <w:rFonts w:cs="SAS Monospace"/>
        </w:rPr>
        <w:t>tern is potentially quadratic. Individual logistic regression models for a linear vs. quadratic relationship with response were calculated and the likelihood ratio was examined.</w:t>
      </w:r>
    </w:p>
    <w:p w14:paraId="0E4B6463" w14:textId="5BB46740" w:rsidR="00C3202A" w:rsidRPr="005A220F" w:rsidRDefault="00C3202A" w:rsidP="00C3202A">
      <w:pPr>
        <w:jc w:val="center"/>
      </w:pPr>
      <w:r>
        <w:t xml:space="preserve">FIGURE 2: Quadratic relationship of the variable </w:t>
      </w:r>
      <w:r w:rsidR="0092322F">
        <w:rPr>
          <w:rFonts w:cs="SAS Monospace"/>
        </w:rPr>
        <w:t>Percent of Roman Catholics</w:t>
      </w:r>
    </w:p>
    <w:p w14:paraId="778DB493" w14:textId="05590903" w:rsidR="001D3756" w:rsidRPr="00C3202A" w:rsidRDefault="002B161E" w:rsidP="00C3202A">
      <w:pPr>
        <w:jc w:val="center"/>
        <w:rPr>
          <w:b/>
        </w:rPr>
      </w:pPr>
      <w:r>
        <w:rPr>
          <w:rFonts w:cs="SAS Monospace"/>
          <w:noProof/>
        </w:rPr>
        <w:drawing>
          <wp:inline distT="0" distB="0" distL="0" distR="0" wp14:anchorId="003BD826" wp14:editId="355CEA15">
            <wp:extent cx="4753583" cy="19399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30 at 3.56.31 AM.png"/>
                    <pic:cNvPicPr/>
                  </pic:nvPicPr>
                  <pic:blipFill rotWithShape="1">
                    <a:blip r:embed="rId11" cstate="print">
                      <a:extLst>
                        <a:ext uri="{28A0092B-C50C-407E-A947-70E740481C1C}">
                          <a14:useLocalDpi xmlns:a14="http://schemas.microsoft.com/office/drawing/2010/main" val="0"/>
                        </a:ext>
                      </a:extLst>
                    </a:blip>
                    <a:srcRect t="8465" b="5986"/>
                    <a:stretch/>
                  </pic:blipFill>
                  <pic:spPr bwMode="auto">
                    <a:xfrm>
                      <a:off x="0" y="0"/>
                      <a:ext cx="4762559" cy="1943582"/>
                    </a:xfrm>
                    <a:prstGeom prst="rect">
                      <a:avLst/>
                    </a:prstGeom>
                    <a:ln>
                      <a:noFill/>
                    </a:ln>
                    <a:extLst>
                      <a:ext uri="{53640926-AAD7-44D8-BBD7-CCE9431645EC}">
                        <a14:shadowObscured xmlns:a14="http://schemas.microsoft.com/office/drawing/2010/main"/>
                      </a:ext>
                    </a:extLst>
                  </pic:spPr>
                </pic:pic>
              </a:graphicData>
            </a:graphic>
          </wp:inline>
        </w:drawing>
      </w:r>
    </w:p>
    <w:p w14:paraId="33AD8915" w14:textId="31F5E2F8" w:rsidR="00F70C5D" w:rsidRDefault="00F70C5D" w:rsidP="005D1FAF">
      <w:pPr>
        <w:jc w:val="both"/>
        <w:rPr>
          <w:rFonts w:cs="SAS Monospace"/>
        </w:rPr>
      </w:pPr>
      <w:r>
        <w:rPr>
          <w:rFonts w:cs="SAS Monospace"/>
        </w:rPr>
        <w:t xml:space="preserve">The Likelihood ratio for the linear </w:t>
      </w:r>
      <w:commentRangeStart w:id="10"/>
      <w:r>
        <w:rPr>
          <w:rFonts w:cs="SAS Monospace"/>
        </w:rPr>
        <w:t>model</w:t>
      </w:r>
      <w:commentRangeEnd w:id="10"/>
      <w:r>
        <w:rPr>
          <w:rStyle w:val="CommentReference"/>
        </w:rPr>
        <w:commentReference w:id="10"/>
      </w:r>
      <w:r>
        <w:rPr>
          <w:rFonts w:cs="SAS Monospace"/>
        </w:rPr>
        <w:t xml:space="preserve"> was </w:t>
      </w:r>
      <w:r w:rsidR="007B0226">
        <w:rPr>
          <w:rFonts w:cs="SAS Monospace"/>
        </w:rPr>
        <w:t>0.4604 vs.</w:t>
      </w:r>
      <w:r>
        <w:rPr>
          <w:rFonts w:cs="SAS Monospace"/>
        </w:rPr>
        <w:t xml:space="preserve"> </w:t>
      </w:r>
      <w:r w:rsidR="00B70C4E">
        <w:rPr>
          <w:rFonts w:cs="SAS Monospace"/>
        </w:rPr>
        <w:t>1.6983</w:t>
      </w:r>
      <w:r>
        <w:rPr>
          <w:rFonts w:cs="SAS Monospace"/>
        </w:rPr>
        <w:t xml:space="preserve"> for </w:t>
      </w:r>
      <w:r w:rsidR="00B70C4E">
        <w:rPr>
          <w:rFonts w:cs="SAS Monospace"/>
        </w:rPr>
        <w:t>the quadratic model</w:t>
      </w:r>
      <w:r w:rsidR="007B0226">
        <w:rPr>
          <w:rFonts w:cs="SAS Monospace"/>
        </w:rPr>
        <w:t xml:space="preserve"> and</w:t>
      </w:r>
      <w:r w:rsidR="00B70C4E">
        <w:rPr>
          <w:rFonts w:cs="SAS Monospace"/>
        </w:rPr>
        <w:t xml:space="preserve"> 1.3219</w:t>
      </w:r>
      <w:r>
        <w:rPr>
          <w:rFonts w:cs="SAS Monospace"/>
        </w:rPr>
        <w:t xml:space="preserve"> for the absolute model and therefore the quadratic form was used as a candidate independent variable for logistic regression</w:t>
      </w:r>
      <w:r w:rsidR="002B161E">
        <w:rPr>
          <w:rFonts w:cs="SAS Monospace"/>
        </w:rPr>
        <w:t xml:space="preserve"> for the variable </w:t>
      </w:r>
      <w:r w:rsidR="00B70C4E">
        <w:rPr>
          <w:rFonts w:cs="SAS Monospace"/>
        </w:rPr>
        <w:t>MGODRK2</w:t>
      </w:r>
      <w:r>
        <w:rPr>
          <w:rFonts w:cs="SAS Monospace"/>
        </w:rPr>
        <w:t>.</w:t>
      </w:r>
    </w:p>
    <w:p w14:paraId="3E51D6FE" w14:textId="77777777" w:rsidR="00182490" w:rsidRDefault="00182490" w:rsidP="00C3202A">
      <w:pPr>
        <w:jc w:val="center"/>
      </w:pPr>
    </w:p>
    <w:p w14:paraId="64B1B081" w14:textId="77777777" w:rsidR="00182490" w:rsidRDefault="00182490" w:rsidP="00C3202A">
      <w:pPr>
        <w:jc w:val="center"/>
      </w:pPr>
    </w:p>
    <w:p w14:paraId="0FCD23BA" w14:textId="77777777" w:rsidR="00182490" w:rsidRDefault="00182490" w:rsidP="00C3202A">
      <w:pPr>
        <w:jc w:val="center"/>
      </w:pPr>
    </w:p>
    <w:p w14:paraId="4BE04866" w14:textId="77777777" w:rsidR="00182490" w:rsidRDefault="00182490" w:rsidP="00C3202A">
      <w:pPr>
        <w:jc w:val="center"/>
      </w:pPr>
    </w:p>
    <w:p w14:paraId="764642E0" w14:textId="77777777" w:rsidR="00182490" w:rsidRDefault="00182490" w:rsidP="00C3202A">
      <w:pPr>
        <w:jc w:val="center"/>
      </w:pPr>
    </w:p>
    <w:p w14:paraId="008072B5" w14:textId="77777777" w:rsidR="00182490" w:rsidRDefault="00182490" w:rsidP="00C3202A">
      <w:pPr>
        <w:jc w:val="center"/>
      </w:pPr>
    </w:p>
    <w:p w14:paraId="25EBF440" w14:textId="77777777" w:rsidR="00182490" w:rsidRDefault="00182490" w:rsidP="00057C2C"/>
    <w:p w14:paraId="00320559" w14:textId="0A3E2075" w:rsidR="00C3202A" w:rsidRPr="00C3202A" w:rsidRDefault="00C3202A" w:rsidP="00C3202A">
      <w:pPr>
        <w:jc w:val="center"/>
      </w:pPr>
      <w:r>
        <w:lastRenderedPageBreak/>
        <w:t xml:space="preserve">FIGURE 3: Quadratic relationship of the variable </w:t>
      </w:r>
      <w:r w:rsidR="0092322F">
        <w:rPr>
          <w:rFonts w:cs="SAS Monospace"/>
        </w:rPr>
        <w:t>Contribution of trailer policies</w:t>
      </w:r>
    </w:p>
    <w:p w14:paraId="7ACFA963" w14:textId="4831039B" w:rsidR="001D3756" w:rsidRPr="001D3756" w:rsidRDefault="002B161E" w:rsidP="000E39F7">
      <w:pPr>
        <w:jc w:val="center"/>
        <w:rPr>
          <w:rFonts w:cs="SAS Monospace"/>
        </w:rPr>
      </w:pPr>
      <w:r>
        <w:rPr>
          <w:rFonts w:cs="SAS Monospace"/>
          <w:noProof/>
        </w:rPr>
        <w:drawing>
          <wp:inline distT="0" distB="0" distL="0" distR="0" wp14:anchorId="20C74D9D" wp14:editId="7F522C2A">
            <wp:extent cx="4909226" cy="20300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30 at 3.56.13 AM.png"/>
                    <pic:cNvPicPr/>
                  </pic:nvPicPr>
                  <pic:blipFill rotWithShape="1">
                    <a:blip r:embed="rId12" cstate="print">
                      <a:extLst>
                        <a:ext uri="{28A0092B-C50C-407E-A947-70E740481C1C}">
                          <a14:useLocalDpi xmlns:a14="http://schemas.microsoft.com/office/drawing/2010/main" val="0"/>
                        </a:ext>
                      </a:extLst>
                    </a:blip>
                    <a:srcRect t="8712" b="4426"/>
                    <a:stretch/>
                  </pic:blipFill>
                  <pic:spPr bwMode="auto">
                    <a:xfrm>
                      <a:off x="0" y="0"/>
                      <a:ext cx="4936481" cy="2041330"/>
                    </a:xfrm>
                    <a:prstGeom prst="rect">
                      <a:avLst/>
                    </a:prstGeom>
                    <a:ln>
                      <a:noFill/>
                    </a:ln>
                    <a:extLst>
                      <a:ext uri="{53640926-AAD7-44D8-BBD7-CCE9431645EC}">
                        <a14:shadowObscured xmlns:a14="http://schemas.microsoft.com/office/drawing/2010/main"/>
                      </a:ext>
                    </a:extLst>
                  </pic:spPr>
                </pic:pic>
              </a:graphicData>
            </a:graphic>
          </wp:inline>
        </w:drawing>
      </w:r>
    </w:p>
    <w:p w14:paraId="48F65E41" w14:textId="11024727" w:rsidR="001432B2" w:rsidRPr="00182490" w:rsidRDefault="00B70C4E" w:rsidP="007B0226">
      <w:pPr>
        <w:jc w:val="both"/>
        <w:rPr>
          <w:rFonts w:cs="SAS Monospace"/>
        </w:rPr>
      </w:pPr>
      <w:r>
        <w:rPr>
          <w:rFonts w:cs="SAS Monospace"/>
        </w:rPr>
        <w:t xml:space="preserve">The Likelihood ratio for the linear </w:t>
      </w:r>
      <w:commentRangeStart w:id="11"/>
      <w:r>
        <w:rPr>
          <w:rFonts w:cs="SAS Monospace"/>
        </w:rPr>
        <w:t>model</w:t>
      </w:r>
      <w:commentRangeEnd w:id="11"/>
      <w:r>
        <w:rPr>
          <w:rStyle w:val="CommentReference"/>
        </w:rPr>
        <w:commentReference w:id="11"/>
      </w:r>
      <w:r>
        <w:rPr>
          <w:rFonts w:cs="SAS Monospace"/>
        </w:rPr>
        <w:t xml:space="preserve"> was </w:t>
      </w:r>
      <w:r w:rsidR="007B0226">
        <w:rPr>
          <w:rFonts w:cs="SAS Monospace"/>
        </w:rPr>
        <w:t>0.0823 vs.</w:t>
      </w:r>
      <w:r>
        <w:rPr>
          <w:rFonts w:cs="SAS Monospace"/>
        </w:rPr>
        <w:t xml:space="preserve"> 1.2609 for the quadratic model</w:t>
      </w:r>
      <w:r w:rsidR="00FE7D1E">
        <w:rPr>
          <w:rFonts w:cs="SAS Monospace"/>
        </w:rPr>
        <w:t xml:space="preserve"> and</w:t>
      </w:r>
      <w:r>
        <w:rPr>
          <w:rFonts w:cs="SAS Monospace"/>
        </w:rPr>
        <w:t xml:space="preserve"> 0.7096 for the absolute model and therefore the quadratic form was used as a candidate independent variable for logistic regression for the variable PAANHA2.</w:t>
      </w:r>
    </w:p>
    <w:p w14:paraId="30F674DE" w14:textId="4FCC1139" w:rsidR="002B161E" w:rsidRDefault="007B0226" w:rsidP="007B0226">
      <w:pPr>
        <w:jc w:val="center"/>
        <w:rPr>
          <w:rFonts w:cs="SAS Monospace"/>
        </w:rPr>
      </w:pPr>
      <w:r>
        <w:t xml:space="preserve">FIGURE 4: Quadratic relationship of the variable </w:t>
      </w:r>
      <w:r w:rsidR="0092322F">
        <w:rPr>
          <w:rFonts w:cs="SAS Monospace"/>
        </w:rPr>
        <w:t>Number of third party insurance policies</w:t>
      </w:r>
      <w:r w:rsidR="0092322F">
        <w:rPr>
          <w:rFonts w:cs="SAS Monospace"/>
          <w:noProof/>
        </w:rPr>
        <w:t xml:space="preserve"> </w:t>
      </w:r>
      <w:r w:rsidR="002B161E">
        <w:rPr>
          <w:rFonts w:cs="SAS Monospace"/>
          <w:noProof/>
        </w:rPr>
        <w:drawing>
          <wp:inline distT="0" distB="0" distL="0" distR="0" wp14:anchorId="605424CB" wp14:editId="4E5495AA">
            <wp:extent cx="5061584" cy="220908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30 at 3.55.40 AM.png"/>
                    <pic:cNvPicPr/>
                  </pic:nvPicPr>
                  <pic:blipFill rotWithShape="1">
                    <a:blip r:embed="rId13" cstate="print">
                      <a:extLst>
                        <a:ext uri="{28A0092B-C50C-407E-A947-70E740481C1C}">
                          <a14:useLocalDpi xmlns:a14="http://schemas.microsoft.com/office/drawing/2010/main" val="0"/>
                        </a:ext>
                      </a:extLst>
                    </a:blip>
                    <a:srcRect t="8321" b="4091"/>
                    <a:stretch/>
                  </pic:blipFill>
                  <pic:spPr bwMode="auto">
                    <a:xfrm>
                      <a:off x="0" y="0"/>
                      <a:ext cx="5116478" cy="2233042"/>
                    </a:xfrm>
                    <a:prstGeom prst="rect">
                      <a:avLst/>
                    </a:prstGeom>
                    <a:ln>
                      <a:noFill/>
                    </a:ln>
                    <a:extLst>
                      <a:ext uri="{53640926-AAD7-44D8-BBD7-CCE9431645EC}">
                        <a14:shadowObscured xmlns:a14="http://schemas.microsoft.com/office/drawing/2010/main"/>
                      </a:ext>
                    </a:extLst>
                  </pic:spPr>
                </pic:pic>
              </a:graphicData>
            </a:graphic>
          </wp:inline>
        </w:drawing>
      </w:r>
    </w:p>
    <w:p w14:paraId="36D61025" w14:textId="55ABA51A" w:rsidR="00B70C4E" w:rsidRDefault="00B70C4E" w:rsidP="005D1FAF">
      <w:pPr>
        <w:jc w:val="both"/>
        <w:rPr>
          <w:rFonts w:cs="SAS Monospace"/>
        </w:rPr>
      </w:pPr>
      <w:r>
        <w:rPr>
          <w:rFonts w:cs="SAS Monospace"/>
        </w:rPr>
        <w:t xml:space="preserve">The Likelihood ratio for the linear </w:t>
      </w:r>
      <w:commentRangeStart w:id="12"/>
      <w:r>
        <w:rPr>
          <w:rFonts w:cs="SAS Monospace"/>
        </w:rPr>
        <w:t>model</w:t>
      </w:r>
      <w:commentRangeEnd w:id="12"/>
      <w:r>
        <w:rPr>
          <w:rStyle w:val="CommentReference"/>
        </w:rPr>
        <w:commentReference w:id="12"/>
      </w:r>
      <w:r>
        <w:rPr>
          <w:rFonts w:cs="SAS Monospace"/>
        </w:rPr>
        <w:t xml:space="preserve"> was </w:t>
      </w:r>
      <w:r w:rsidR="007B0226">
        <w:rPr>
          <w:rFonts w:cs="SAS Monospace"/>
        </w:rPr>
        <w:t>12.0449 vs.</w:t>
      </w:r>
      <w:r>
        <w:rPr>
          <w:rFonts w:cs="SAS Monospace"/>
        </w:rPr>
        <w:t xml:space="preserve"> 2</w:t>
      </w:r>
      <w:r w:rsidR="007B0226">
        <w:rPr>
          <w:rFonts w:cs="SAS Monospace"/>
        </w:rPr>
        <w:t>0.0969 for the quadratic model and</w:t>
      </w:r>
      <w:r>
        <w:rPr>
          <w:rFonts w:cs="SAS Monospace"/>
        </w:rPr>
        <w:t xml:space="preserve"> 19.868 for the absolute model and therefore the quadratic form was used as a candidate independent variable for logistic regression for the variable AWAPAR.</w:t>
      </w:r>
    </w:p>
    <w:p w14:paraId="0C67FAC9" w14:textId="4A5B9C6F" w:rsidR="001432B2" w:rsidRDefault="00182490" w:rsidP="005D1FAF">
      <w:pPr>
        <w:jc w:val="both"/>
        <w:rPr>
          <w:rFonts w:cs="SAS Monospace"/>
        </w:rPr>
      </w:pPr>
      <w:r>
        <w:rPr>
          <w:rFonts w:cs="SAS Monospace"/>
        </w:rPr>
        <w:t>In summary,</w:t>
      </w:r>
    </w:p>
    <w:p w14:paraId="216A5DF1" w14:textId="77777777" w:rsidR="001432B2" w:rsidRDefault="001432B2" w:rsidP="001432B2">
      <w:pPr>
        <w:jc w:val="center"/>
        <w:rPr>
          <w:rFonts w:cs="SAS Monospace"/>
        </w:rPr>
      </w:pPr>
      <w:r>
        <w:rPr>
          <w:rFonts w:cs="SAS Monospace"/>
        </w:rPr>
        <w:t>TABLE 5: Examining Non-Linear Relationships</w:t>
      </w:r>
    </w:p>
    <w:tbl>
      <w:tblPr>
        <w:tblStyle w:val="TableGrid"/>
        <w:tblW w:w="0" w:type="auto"/>
        <w:jc w:val="center"/>
        <w:tblLook w:val="04A0" w:firstRow="1" w:lastRow="0" w:firstColumn="1" w:lastColumn="0" w:noHBand="0" w:noVBand="1"/>
      </w:tblPr>
      <w:tblGrid>
        <w:gridCol w:w="2565"/>
        <w:gridCol w:w="2565"/>
        <w:gridCol w:w="2565"/>
        <w:gridCol w:w="2565"/>
      </w:tblGrid>
      <w:tr w:rsidR="001432B2" w:rsidRPr="000E39F7" w14:paraId="625C9B99" w14:textId="77777777" w:rsidTr="00057C2C">
        <w:trPr>
          <w:trHeight w:val="285"/>
          <w:jc w:val="center"/>
        </w:trPr>
        <w:tc>
          <w:tcPr>
            <w:tcW w:w="2565" w:type="dxa"/>
            <w:vAlign w:val="center"/>
          </w:tcPr>
          <w:p w14:paraId="08A2B23B" w14:textId="5DFB90DB" w:rsidR="001432B2" w:rsidRPr="00057C2C" w:rsidRDefault="00057C2C" w:rsidP="00A55E53">
            <w:pPr>
              <w:jc w:val="center"/>
              <w:rPr>
                <w:rFonts w:cs="SAS Monospace"/>
                <w:b/>
              </w:rPr>
            </w:pPr>
            <w:r w:rsidRPr="00057C2C">
              <w:rPr>
                <w:rFonts w:cs="SAS Monospace"/>
                <w:b/>
              </w:rPr>
              <w:t>VARIABLE NAME</w:t>
            </w:r>
          </w:p>
        </w:tc>
        <w:tc>
          <w:tcPr>
            <w:tcW w:w="2565" w:type="dxa"/>
            <w:vAlign w:val="center"/>
          </w:tcPr>
          <w:p w14:paraId="649C4671" w14:textId="3687629D" w:rsidR="001432B2" w:rsidRPr="00057C2C" w:rsidRDefault="00057C2C" w:rsidP="00A55E53">
            <w:pPr>
              <w:jc w:val="center"/>
              <w:rPr>
                <w:rFonts w:cs="SAS Monospace"/>
                <w:b/>
              </w:rPr>
            </w:pPr>
            <w:r w:rsidRPr="00057C2C">
              <w:rPr>
                <w:rFonts w:cs="SAS Monospace"/>
                <w:b/>
              </w:rPr>
              <w:t>% of ROMAN CATHOLICS</w:t>
            </w:r>
          </w:p>
        </w:tc>
        <w:tc>
          <w:tcPr>
            <w:tcW w:w="2565" w:type="dxa"/>
            <w:vAlign w:val="center"/>
          </w:tcPr>
          <w:p w14:paraId="5A47420E" w14:textId="3FC10FBF" w:rsidR="001432B2" w:rsidRPr="00057C2C" w:rsidRDefault="00057C2C" w:rsidP="00A55E53">
            <w:pPr>
              <w:jc w:val="center"/>
              <w:rPr>
                <w:rFonts w:cs="SAS Monospace"/>
                <w:b/>
              </w:rPr>
            </w:pPr>
            <w:r w:rsidRPr="00057C2C">
              <w:rPr>
                <w:rFonts w:cs="SAS Monospace"/>
                <w:b/>
              </w:rPr>
              <w:t>CONTRIBUTION OF TRAILER POLICIES</w:t>
            </w:r>
          </w:p>
        </w:tc>
        <w:tc>
          <w:tcPr>
            <w:tcW w:w="2565" w:type="dxa"/>
            <w:vAlign w:val="center"/>
          </w:tcPr>
          <w:p w14:paraId="7ABDE73A" w14:textId="6660114A" w:rsidR="001432B2" w:rsidRPr="00057C2C" w:rsidRDefault="00057C2C" w:rsidP="00A55E53">
            <w:pPr>
              <w:jc w:val="center"/>
              <w:rPr>
                <w:rFonts w:cs="SAS Monospace"/>
                <w:b/>
              </w:rPr>
            </w:pPr>
            <w:r w:rsidRPr="00057C2C">
              <w:rPr>
                <w:rFonts w:cs="SAS Monospace"/>
                <w:b/>
              </w:rPr>
              <w:t>NUMBER OF THIRD PARTY INSURANCE POLICIES</w:t>
            </w:r>
          </w:p>
        </w:tc>
      </w:tr>
      <w:tr w:rsidR="001432B2" w:rsidRPr="000E39F7" w14:paraId="6F195E63" w14:textId="77777777" w:rsidTr="00057C2C">
        <w:trPr>
          <w:trHeight w:val="579"/>
          <w:jc w:val="center"/>
        </w:trPr>
        <w:tc>
          <w:tcPr>
            <w:tcW w:w="2565" w:type="dxa"/>
            <w:vAlign w:val="center"/>
          </w:tcPr>
          <w:p w14:paraId="15CA1C6B" w14:textId="77777777" w:rsidR="001432B2" w:rsidRPr="000E39F7" w:rsidRDefault="001432B2" w:rsidP="00A55E53">
            <w:pPr>
              <w:jc w:val="center"/>
              <w:rPr>
                <w:rFonts w:cs="SAS Monospace"/>
              </w:rPr>
            </w:pPr>
            <w:r w:rsidRPr="000E39F7">
              <w:rPr>
                <w:rFonts w:cs="SAS Monospace"/>
              </w:rPr>
              <w:t>Likelihood Ratio for Linear Relationship</w:t>
            </w:r>
          </w:p>
        </w:tc>
        <w:tc>
          <w:tcPr>
            <w:tcW w:w="2565" w:type="dxa"/>
            <w:vAlign w:val="center"/>
          </w:tcPr>
          <w:p w14:paraId="05B0F490" w14:textId="77777777" w:rsidR="001432B2" w:rsidRPr="000E39F7" w:rsidRDefault="001432B2" w:rsidP="00A55E53">
            <w:pPr>
              <w:jc w:val="center"/>
              <w:rPr>
                <w:rFonts w:cs="SAS Monospace"/>
              </w:rPr>
            </w:pPr>
            <w:r w:rsidRPr="000E39F7">
              <w:rPr>
                <w:rFonts w:cs="SAS Monospace"/>
              </w:rPr>
              <w:t>0.4604</w:t>
            </w:r>
          </w:p>
        </w:tc>
        <w:tc>
          <w:tcPr>
            <w:tcW w:w="2565" w:type="dxa"/>
            <w:vAlign w:val="center"/>
          </w:tcPr>
          <w:p w14:paraId="70A2FAEC" w14:textId="77777777" w:rsidR="001432B2" w:rsidRPr="000E39F7" w:rsidRDefault="001432B2" w:rsidP="00A55E53">
            <w:pPr>
              <w:jc w:val="center"/>
              <w:rPr>
                <w:rFonts w:cs="SAS Monospace"/>
              </w:rPr>
            </w:pPr>
            <w:r w:rsidRPr="000E39F7">
              <w:rPr>
                <w:rFonts w:cs="SAS Monospace"/>
              </w:rPr>
              <w:t>0.0823</w:t>
            </w:r>
          </w:p>
        </w:tc>
        <w:tc>
          <w:tcPr>
            <w:tcW w:w="2565" w:type="dxa"/>
            <w:vAlign w:val="center"/>
          </w:tcPr>
          <w:p w14:paraId="37811BEF" w14:textId="77777777" w:rsidR="001432B2" w:rsidRPr="000E39F7" w:rsidRDefault="001432B2" w:rsidP="00A55E53">
            <w:pPr>
              <w:jc w:val="center"/>
              <w:rPr>
                <w:rFonts w:cs="SAS Monospace"/>
              </w:rPr>
            </w:pPr>
            <w:r w:rsidRPr="000E39F7">
              <w:rPr>
                <w:rFonts w:cs="SAS Monospace"/>
              </w:rPr>
              <w:t>12.0449</w:t>
            </w:r>
          </w:p>
        </w:tc>
      </w:tr>
      <w:tr w:rsidR="001432B2" w:rsidRPr="000E39F7" w14:paraId="5E07EDEC" w14:textId="77777777" w:rsidTr="00057C2C">
        <w:trPr>
          <w:trHeight w:val="616"/>
          <w:jc w:val="center"/>
        </w:trPr>
        <w:tc>
          <w:tcPr>
            <w:tcW w:w="2565" w:type="dxa"/>
            <w:vAlign w:val="center"/>
          </w:tcPr>
          <w:p w14:paraId="3B46EF81" w14:textId="77777777" w:rsidR="001432B2" w:rsidRPr="000E39F7" w:rsidRDefault="001432B2" w:rsidP="00A55E53">
            <w:pPr>
              <w:jc w:val="center"/>
              <w:rPr>
                <w:rFonts w:cs="SAS Monospace"/>
              </w:rPr>
            </w:pPr>
            <w:r w:rsidRPr="000E39F7">
              <w:rPr>
                <w:rFonts w:cs="SAS Monospace"/>
              </w:rPr>
              <w:t>Likelihood Ratio for Quadratic Relationship</w:t>
            </w:r>
          </w:p>
        </w:tc>
        <w:tc>
          <w:tcPr>
            <w:tcW w:w="2565" w:type="dxa"/>
            <w:vAlign w:val="center"/>
          </w:tcPr>
          <w:p w14:paraId="2B5F054D" w14:textId="77777777" w:rsidR="001432B2" w:rsidRPr="000E39F7" w:rsidRDefault="001432B2" w:rsidP="00A55E53">
            <w:pPr>
              <w:jc w:val="center"/>
              <w:rPr>
                <w:rFonts w:cs="SAS Monospace"/>
              </w:rPr>
            </w:pPr>
            <w:r w:rsidRPr="000E39F7">
              <w:rPr>
                <w:rFonts w:cs="SAS Monospace"/>
              </w:rPr>
              <w:t>1.6983</w:t>
            </w:r>
          </w:p>
        </w:tc>
        <w:tc>
          <w:tcPr>
            <w:tcW w:w="2565" w:type="dxa"/>
            <w:vAlign w:val="center"/>
          </w:tcPr>
          <w:p w14:paraId="775B21DA" w14:textId="77777777" w:rsidR="001432B2" w:rsidRPr="000E39F7" w:rsidRDefault="001432B2" w:rsidP="00A55E53">
            <w:pPr>
              <w:jc w:val="center"/>
              <w:rPr>
                <w:rFonts w:cs="SAS Monospace"/>
              </w:rPr>
            </w:pPr>
            <w:r w:rsidRPr="000E39F7">
              <w:rPr>
                <w:rFonts w:cs="SAS Monospace"/>
              </w:rPr>
              <w:t>1.2609</w:t>
            </w:r>
          </w:p>
        </w:tc>
        <w:tc>
          <w:tcPr>
            <w:tcW w:w="2565" w:type="dxa"/>
            <w:vAlign w:val="center"/>
          </w:tcPr>
          <w:p w14:paraId="7E2EA1F3" w14:textId="77777777" w:rsidR="001432B2" w:rsidRPr="000E39F7" w:rsidRDefault="001432B2" w:rsidP="00A55E53">
            <w:pPr>
              <w:jc w:val="center"/>
              <w:rPr>
                <w:rFonts w:cs="SAS Monospace"/>
              </w:rPr>
            </w:pPr>
            <w:r w:rsidRPr="000E39F7">
              <w:rPr>
                <w:rFonts w:cs="SAS Monospace"/>
              </w:rPr>
              <w:t>20.0969</w:t>
            </w:r>
          </w:p>
        </w:tc>
      </w:tr>
      <w:tr w:rsidR="001432B2" w:rsidRPr="000E39F7" w14:paraId="2240E75A" w14:textId="77777777" w:rsidTr="00057C2C">
        <w:trPr>
          <w:trHeight w:val="616"/>
          <w:jc w:val="center"/>
        </w:trPr>
        <w:tc>
          <w:tcPr>
            <w:tcW w:w="2565" w:type="dxa"/>
            <w:vAlign w:val="center"/>
          </w:tcPr>
          <w:p w14:paraId="713F604E" w14:textId="77777777" w:rsidR="001432B2" w:rsidRPr="000E39F7" w:rsidRDefault="001432B2" w:rsidP="00A55E53">
            <w:pPr>
              <w:jc w:val="center"/>
              <w:rPr>
                <w:rFonts w:cs="SAS Monospace"/>
              </w:rPr>
            </w:pPr>
            <w:r w:rsidRPr="000E39F7">
              <w:rPr>
                <w:rFonts w:cs="SAS Monospace"/>
              </w:rPr>
              <w:t>Likelihood Ratio for Absolute Relationship</w:t>
            </w:r>
          </w:p>
        </w:tc>
        <w:tc>
          <w:tcPr>
            <w:tcW w:w="2565" w:type="dxa"/>
            <w:vAlign w:val="center"/>
          </w:tcPr>
          <w:p w14:paraId="275E8DEB" w14:textId="77777777" w:rsidR="001432B2" w:rsidRPr="000E39F7" w:rsidRDefault="001432B2" w:rsidP="00A55E53">
            <w:pPr>
              <w:jc w:val="center"/>
              <w:rPr>
                <w:rFonts w:cs="SAS Monospace"/>
              </w:rPr>
            </w:pPr>
            <w:r w:rsidRPr="000E39F7">
              <w:rPr>
                <w:rFonts w:cs="SAS Monospace"/>
              </w:rPr>
              <w:t>1.3219</w:t>
            </w:r>
          </w:p>
        </w:tc>
        <w:tc>
          <w:tcPr>
            <w:tcW w:w="2565" w:type="dxa"/>
            <w:vAlign w:val="center"/>
          </w:tcPr>
          <w:p w14:paraId="71773454" w14:textId="77777777" w:rsidR="001432B2" w:rsidRPr="000E39F7" w:rsidRDefault="001432B2" w:rsidP="00A55E53">
            <w:pPr>
              <w:jc w:val="center"/>
              <w:rPr>
                <w:rFonts w:cs="SAS Monospace"/>
              </w:rPr>
            </w:pPr>
            <w:r w:rsidRPr="000E39F7">
              <w:rPr>
                <w:rFonts w:cs="SAS Monospace"/>
              </w:rPr>
              <w:t>0.7096</w:t>
            </w:r>
          </w:p>
        </w:tc>
        <w:tc>
          <w:tcPr>
            <w:tcW w:w="2565" w:type="dxa"/>
            <w:vAlign w:val="center"/>
          </w:tcPr>
          <w:p w14:paraId="051F710E" w14:textId="77777777" w:rsidR="001432B2" w:rsidRPr="000E39F7" w:rsidRDefault="001432B2" w:rsidP="00A55E53">
            <w:pPr>
              <w:jc w:val="center"/>
              <w:rPr>
                <w:rFonts w:cs="SAS Monospace"/>
              </w:rPr>
            </w:pPr>
            <w:r w:rsidRPr="000E39F7">
              <w:rPr>
                <w:rFonts w:cs="SAS Monospace"/>
              </w:rPr>
              <w:t>19.868</w:t>
            </w:r>
          </w:p>
        </w:tc>
      </w:tr>
    </w:tbl>
    <w:p w14:paraId="242D38E5" w14:textId="77777777" w:rsidR="002B161E" w:rsidRDefault="002B161E" w:rsidP="005D1FAF">
      <w:pPr>
        <w:jc w:val="both"/>
        <w:rPr>
          <w:rFonts w:cs="SAS Monospace"/>
        </w:rPr>
      </w:pPr>
    </w:p>
    <w:p w14:paraId="2EF82331" w14:textId="77777777" w:rsidR="001432B2" w:rsidRDefault="001432B2" w:rsidP="005D1FAF">
      <w:pPr>
        <w:jc w:val="both"/>
        <w:rPr>
          <w:rFonts w:cs="SAS Monospace"/>
        </w:rPr>
      </w:pPr>
    </w:p>
    <w:p w14:paraId="2370C5F8" w14:textId="24755980" w:rsidR="00F70C5D" w:rsidRDefault="00F70C5D" w:rsidP="005D1FAF">
      <w:pPr>
        <w:jc w:val="both"/>
        <w:rPr>
          <w:rFonts w:cs="SAS Monospace"/>
        </w:rPr>
      </w:pPr>
      <w:r w:rsidRPr="001B5648">
        <w:rPr>
          <w:rFonts w:cs="SAS Monospace"/>
          <w:u w:val="single"/>
        </w:rPr>
        <w:t>Logistic Regression Model</w:t>
      </w:r>
      <w:r>
        <w:rPr>
          <w:rFonts w:cs="SAS Monospace"/>
        </w:rPr>
        <w:t>.  After preparing all the variables for po</w:t>
      </w:r>
      <w:r w:rsidR="00FE7D1E">
        <w:rPr>
          <w:rFonts w:cs="SAS Monospace"/>
        </w:rPr>
        <w:t>tential use in the model, all 74</w:t>
      </w:r>
      <w:r>
        <w:rPr>
          <w:rFonts w:cs="SAS Monospace"/>
        </w:rPr>
        <w:t xml:space="preserve"> variables were submitted to a logistic regression model using stepwise variable selection.  This resulted in 9 statistically significant variables as shown in table 3.</w:t>
      </w:r>
    </w:p>
    <w:p w14:paraId="006ACAD3" w14:textId="77777777" w:rsidR="001432B2" w:rsidRDefault="001432B2" w:rsidP="005D1FAF">
      <w:pPr>
        <w:jc w:val="both"/>
        <w:rPr>
          <w:rFonts w:cs="SAS Monospace"/>
        </w:rPr>
      </w:pPr>
    </w:p>
    <w:p w14:paraId="42C05AF0" w14:textId="1F4EEFB9" w:rsidR="00E42831" w:rsidRPr="0092322F" w:rsidRDefault="00F70C5D" w:rsidP="0092322F">
      <w:pPr>
        <w:jc w:val="both"/>
      </w:pPr>
      <w:r w:rsidRPr="00F70C5D">
        <w:rPr>
          <w:rFonts w:cs="SAS Monospace"/>
          <w:u w:val="single"/>
        </w:rPr>
        <w:t>Linear Regression</w:t>
      </w:r>
      <w:r w:rsidRPr="00F70C5D">
        <w:rPr>
          <w:rFonts w:cs="SAS Monospace"/>
        </w:rPr>
        <w:t xml:space="preserve">.  After using logistic regression to select the variables for the model, the final set of independent variables was used to build a linear regression equation.  This was done </w:t>
      </w:r>
      <w:r w:rsidR="007B0226" w:rsidRPr="00F70C5D">
        <w:rPr>
          <w:rFonts w:cs="SAS Monospace"/>
        </w:rPr>
        <w:t>to</w:t>
      </w:r>
      <w:r w:rsidRPr="00F70C5D">
        <w:rPr>
          <w:rFonts w:cs="SAS Monospace"/>
        </w:rPr>
        <w:t xml:space="preserve"> find the slo</w:t>
      </w:r>
      <w:r>
        <w:rPr>
          <w:rFonts w:cs="SAS Monospace"/>
        </w:rPr>
        <w:t>pe estimates of every attribute</w:t>
      </w:r>
      <w:r w:rsidR="00652DDC">
        <w:rPr>
          <w:rFonts w:cs="SAS Monospace"/>
        </w:rPr>
        <w:t xml:space="preserve"> and understand their impact in the model </w:t>
      </w:r>
      <w:r w:rsidR="007B0226">
        <w:rPr>
          <w:rFonts w:cs="SAS Monospace"/>
        </w:rPr>
        <w:t>performance.</w:t>
      </w:r>
      <w:r>
        <w:rPr>
          <w:rFonts w:cs="SAS Monospace"/>
        </w:rPr>
        <w:t xml:space="preserve"> T</w:t>
      </w:r>
      <w:r w:rsidRPr="00F70C5D">
        <w:rPr>
          <w:rFonts w:cs="SAS Monospace"/>
        </w:rPr>
        <w:t>he coefficients from that model were used to show the change in probability of signing up</w:t>
      </w:r>
      <w:r>
        <w:rPr>
          <w:rFonts w:cs="SAS Monospace"/>
        </w:rPr>
        <w:t xml:space="preserve"> </w:t>
      </w:r>
      <w:r w:rsidR="00652DDC">
        <w:rPr>
          <w:rFonts w:cs="SAS Monospace"/>
        </w:rPr>
        <w:t xml:space="preserve">for the </w:t>
      </w:r>
      <w:r w:rsidR="007B0226">
        <w:rPr>
          <w:rFonts w:cs="SAS Monospace"/>
        </w:rPr>
        <w:t xml:space="preserve">Blue </w:t>
      </w:r>
      <w:r w:rsidR="00652DDC" w:rsidRPr="0040724F">
        <w:t>Cross</w:t>
      </w:r>
      <w:r w:rsidR="007B0226">
        <w:t xml:space="preserve"> –</w:t>
      </w:r>
      <w:r w:rsidR="00652DDC" w:rsidRPr="0040724F">
        <w:t xml:space="preserve"> Blue Shield health maintenance organization (HMO)</w:t>
      </w:r>
      <w:r w:rsidR="00652DDC">
        <w:t>.</w:t>
      </w:r>
    </w:p>
    <w:sectPr w:rsidR="00E42831" w:rsidRPr="0092322F" w:rsidSect="005D1FA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Sparks" w:date="2014-10-27T12:29:00Z" w:initials="JJS">
    <w:p w14:paraId="742271E6" w14:textId="77777777" w:rsidR="00A55E53" w:rsidRDefault="00A55E53" w:rsidP="005035DE">
      <w:pPr>
        <w:pStyle w:val="CommentText"/>
      </w:pPr>
      <w:r>
        <w:rPr>
          <w:rStyle w:val="CommentReference"/>
        </w:rPr>
        <w:annotationRef/>
      </w:r>
      <w:r>
        <w:t>Notice tab stops used to line up items</w:t>
      </w:r>
    </w:p>
  </w:comment>
  <w:comment w:id="1" w:author="John Sparks" w:date="2014-10-26T16:13:00Z" w:initials="JJS">
    <w:p w14:paraId="477615FB" w14:textId="77777777" w:rsidR="00A55E53" w:rsidRDefault="00A55E53" w:rsidP="00444BDA">
      <w:pPr>
        <w:pStyle w:val="CommentText"/>
      </w:pPr>
      <w:r>
        <w:rPr>
          <w:rStyle w:val="CommentReference"/>
        </w:rPr>
        <w:annotationRef/>
      </w:r>
      <w:r>
        <w:t>Or marginal analysis, depending on which you chose.</w:t>
      </w:r>
    </w:p>
  </w:comment>
  <w:comment w:id="2" w:author="Sparks, John" w:date="2014-10-13T15:40:00Z" w:initials="SJ">
    <w:p w14:paraId="6F113D4A" w14:textId="77777777" w:rsidR="00A55E53" w:rsidRDefault="00A55E53">
      <w:pPr>
        <w:pStyle w:val="CommentText"/>
      </w:pPr>
      <w:r>
        <w:rPr>
          <w:rStyle w:val="CommentReference"/>
        </w:rPr>
        <w:annotationRef/>
      </w:r>
      <w:r>
        <w:t>2 carriage returns before start of new section</w:t>
      </w:r>
    </w:p>
  </w:comment>
  <w:comment w:id="3" w:author="Sparks, John" w:date="2014-10-28T17:42:00Z" w:initials="SJ">
    <w:p w14:paraId="78F05F04" w14:textId="77777777" w:rsidR="00A55E53" w:rsidRDefault="00A55E53" w:rsidP="00444BDA">
      <w:pPr>
        <w:pStyle w:val="CommentText"/>
      </w:pPr>
      <w:r>
        <w:rPr>
          <w:rStyle w:val="CommentReference"/>
        </w:rPr>
        <w:annotationRef/>
      </w:r>
      <w:r>
        <w:t>You better understand the difference between response rate and percent of total responses.  If you mix them up then you get a zero for the assignment.  Response rate is the number of sales divided by the number of prospects contacted.  The cut-point printout should provide you with the figures needed and you can do a little bit of math to figure out the response rate for the cut point of the file.</w:t>
      </w:r>
    </w:p>
  </w:comment>
  <w:comment w:id="5" w:author="JohnSparks" w:date="2014-10-28T08:59:00Z" w:initials="JJS">
    <w:p w14:paraId="5D11CB66" w14:textId="1CF8B617" w:rsidR="00A55E53" w:rsidRDefault="00A55E53" w:rsidP="001A7756">
      <w:r>
        <w:rPr>
          <w:rStyle w:val="CommentReference"/>
        </w:rPr>
        <w:annotationRef/>
      </w:r>
      <w:r>
        <w:t>Alternatively if you make an argument based on the lift (the difference between the baseline and the model) then make it here.  Be certain to define lift before using it to analyze for the alternative cut-point.</w:t>
      </w:r>
    </w:p>
  </w:comment>
  <w:comment w:id="4" w:author="JohnSparks" w:date="2014-10-28T17:38:00Z" w:initials="JJS">
    <w:p w14:paraId="139505B0" w14:textId="4ABD8338" w:rsidR="00A55E53" w:rsidRDefault="00A55E53">
      <w:pPr>
        <w:pStyle w:val="CommentText"/>
      </w:pPr>
      <w:r>
        <w:rPr>
          <w:rStyle w:val="CommentReference"/>
        </w:rPr>
        <w:annotationRef/>
      </w:r>
      <w:r>
        <w:t>Remember, no un-needed decimals, including your tables and charts.</w:t>
      </w:r>
    </w:p>
  </w:comment>
  <w:comment w:id="6" w:author="JohnSparks" w:date="2014-10-28T17:43:00Z" w:initials="JJS">
    <w:p w14:paraId="0EA53641" w14:textId="77777777" w:rsidR="00A55E53" w:rsidRDefault="00A55E53" w:rsidP="00253D0D">
      <w:pPr>
        <w:pStyle w:val="CommentText"/>
      </w:pPr>
      <w:r>
        <w:rPr>
          <w:rStyle w:val="CommentReference"/>
        </w:rPr>
        <w:annotationRef/>
      </w:r>
      <w:r>
        <w:t>Single paragraph that answers all four questions or points the reader to a table that contains part of the answers.  This must appear directly below the set of questions.</w:t>
      </w:r>
    </w:p>
  </w:comment>
  <w:comment w:id="7" w:author="JohnSparks" w:date="2014-10-28T09:01:00Z" w:initials="JJS">
    <w:p w14:paraId="36A9415A" w14:textId="77777777" w:rsidR="00A55E53" w:rsidRDefault="00A55E53" w:rsidP="001A7756">
      <w:r>
        <w:rPr>
          <w:rStyle w:val="CommentReference"/>
        </w:rPr>
        <w:annotationRef/>
      </w:r>
      <w:r>
        <w:rPr>
          <w:rStyle w:val="CommentReference"/>
        </w:rPr>
        <w:annotationRef/>
      </w:r>
      <w:r>
        <w:t xml:space="preserve">Provide a thorough description of all the steps you went through to prepare the data for the model and then the model itself.  </w:t>
      </w:r>
    </w:p>
    <w:p w14:paraId="1194D9BF" w14:textId="163CE8BF" w:rsidR="00A55E53" w:rsidRDefault="00A55E53" w:rsidP="001A7756">
      <w:pPr>
        <w:pStyle w:val="CommentText"/>
      </w:pPr>
      <w:r>
        <w:t>In part, a few example graphs showing the examination for non-linear forms would be a good way to explain these steps.  Also, before and after tables for the values for the L3 and L4 transforms would clearly demonstrate what was necessary for that step.</w:t>
      </w:r>
    </w:p>
  </w:comment>
  <w:comment w:id="8" w:author="JohnSparks" w:date="2014-10-27T19:24:00Z" w:initials="JJS">
    <w:p w14:paraId="6B7B3204" w14:textId="1A0D39D6" w:rsidR="00A55E53" w:rsidRDefault="00A55E53">
      <w:pPr>
        <w:pStyle w:val="CommentText"/>
      </w:pPr>
      <w:r>
        <w:rPr>
          <w:rStyle w:val="CommentReference"/>
        </w:rPr>
        <w:annotationRef/>
      </w:r>
    </w:p>
  </w:comment>
  <w:comment w:id="10" w:author="JohnSparks" w:date="2014-10-27T19:36:00Z" w:initials="JJS">
    <w:p w14:paraId="7573ACE7" w14:textId="77777777" w:rsidR="00A55E53" w:rsidRDefault="00A55E53" w:rsidP="00F70C5D">
      <w:pPr>
        <w:pStyle w:val="CommentText"/>
      </w:pPr>
      <w:r>
        <w:rPr>
          <w:rStyle w:val="CommentReference"/>
        </w:rPr>
        <w:annotationRef/>
      </w:r>
      <w:r>
        <w:t xml:space="preserve">If you had any variables where the non-linear form was the </w:t>
      </w:r>
      <w:proofErr w:type="gramStart"/>
      <w:r>
        <w:t>‘ winner</w:t>
      </w:r>
      <w:proofErr w:type="gramEnd"/>
      <w:r>
        <w:t>’ then you should definitely include them.  If all of your comparisons resulted in linear forms, that is fine, show 2 or 3 of them.</w:t>
      </w:r>
    </w:p>
  </w:comment>
  <w:comment w:id="11" w:author="JohnSparks" w:date="2014-10-27T19:36:00Z" w:initials="JJS">
    <w:p w14:paraId="336485AB" w14:textId="77777777" w:rsidR="00A55E53" w:rsidRDefault="00A55E53" w:rsidP="00B70C4E">
      <w:pPr>
        <w:pStyle w:val="CommentText"/>
      </w:pPr>
      <w:r>
        <w:rPr>
          <w:rStyle w:val="CommentReference"/>
        </w:rPr>
        <w:annotationRef/>
      </w:r>
      <w:r>
        <w:t>If you had any variables where the non-linear form was the ‘ winner’ then you should definitely include them.  If all of your comparisons resulted in linear forms, that is fine, show 2 or 3 of them.</w:t>
      </w:r>
    </w:p>
  </w:comment>
  <w:comment w:id="12" w:author="JohnSparks" w:date="2014-10-27T19:36:00Z" w:initials="JJS">
    <w:p w14:paraId="4D3637AD" w14:textId="77777777" w:rsidR="00A55E53" w:rsidRDefault="00A55E53" w:rsidP="00B70C4E">
      <w:pPr>
        <w:pStyle w:val="CommentText"/>
      </w:pPr>
      <w:r>
        <w:rPr>
          <w:rStyle w:val="CommentReference"/>
        </w:rPr>
        <w:annotationRef/>
      </w:r>
      <w:r>
        <w:t>If you had any variables where the non-linear form was the ‘ winner’ then you should definitely include them.  If all of your comparisons resulted in linear forms, that is fine, show 2 or 3 of them.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2271E6" w15:done="0"/>
  <w15:commentEx w15:paraId="477615FB" w15:done="0"/>
  <w15:commentEx w15:paraId="6F113D4A" w15:done="0"/>
  <w15:commentEx w15:paraId="78F05F04" w15:done="0"/>
  <w15:commentEx w15:paraId="5D11CB66" w15:done="0"/>
  <w15:commentEx w15:paraId="139505B0" w15:done="0"/>
  <w15:commentEx w15:paraId="0EA53641" w15:done="0"/>
  <w15:commentEx w15:paraId="1194D9BF" w15:done="0"/>
  <w15:commentEx w15:paraId="6B7B3204" w15:done="0"/>
  <w15:commentEx w15:paraId="7573ACE7" w15:done="0"/>
  <w15:commentEx w15:paraId="336485AB" w15:done="0"/>
  <w15:commentEx w15:paraId="4D3637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92F78" w14:textId="77777777" w:rsidR="003C65DD" w:rsidRDefault="003C65DD" w:rsidP="00460714">
      <w:pPr>
        <w:spacing w:after="0" w:line="240" w:lineRule="auto"/>
      </w:pPr>
      <w:r>
        <w:separator/>
      </w:r>
    </w:p>
  </w:endnote>
  <w:endnote w:type="continuationSeparator" w:id="0">
    <w:p w14:paraId="6F2827D2" w14:textId="77777777" w:rsidR="003C65DD" w:rsidRDefault="003C65DD" w:rsidP="0046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SAS Monospace">
    <w:altName w:val="Arial"/>
    <w:charset w:val="00"/>
    <w:family w:val="modern"/>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80CF7" w14:textId="77777777" w:rsidR="003C65DD" w:rsidRDefault="003C65DD" w:rsidP="00460714">
      <w:pPr>
        <w:spacing w:after="0" w:line="240" w:lineRule="auto"/>
      </w:pPr>
      <w:r>
        <w:separator/>
      </w:r>
    </w:p>
  </w:footnote>
  <w:footnote w:type="continuationSeparator" w:id="0">
    <w:p w14:paraId="03EEB990" w14:textId="77777777" w:rsidR="003C65DD" w:rsidRDefault="003C65DD" w:rsidP="004607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472B3"/>
    <w:multiLevelType w:val="hybridMultilevel"/>
    <w:tmpl w:val="C45A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arks, John">
    <w15:presenceInfo w15:providerId="AD" w15:userId="S-1-5-21-1454471165-2000478354-1801674531-26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AF"/>
    <w:rsid w:val="00057C2C"/>
    <w:rsid w:val="00061606"/>
    <w:rsid w:val="00091D01"/>
    <w:rsid w:val="000B0447"/>
    <w:rsid w:val="000B52DE"/>
    <w:rsid w:val="000B6EA2"/>
    <w:rsid w:val="000E39F7"/>
    <w:rsid w:val="001432B2"/>
    <w:rsid w:val="001815EB"/>
    <w:rsid w:val="00182490"/>
    <w:rsid w:val="00197749"/>
    <w:rsid w:val="001A7756"/>
    <w:rsid w:val="001B5648"/>
    <w:rsid w:val="001D3756"/>
    <w:rsid w:val="001D77B5"/>
    <w:rsid w:val="001E5ECF"/>
    <w:rsid w:val="00253D0D"/>
    <w:rsid w:val="002678C5"/>
    <w:rsid w:val="002757A0"/>
    <w:rsid w:val="002862A6"/>
    <w:rsid w:val="002A1D65"/>
    <w:rsid w:val="002B161E"/>
    <w:rsid w:val="002D275E"/>
    <w:rsid w:val="00321BDB"/>
    <w:rsid w:val="00362667"/>
    <w:rsid w:val="003A36CA"/>
    <w:rsid w:val="003C65DD"/>
    <w:rsid w:val="0041112D"/>
    <w:rsid w:val="0043468F"/>
    <w:rsid w:val="00436220"/>
    <w:rsid w:val="00444BDA"/>
    <w:rsid w:val="00460714"/>
    <w:rsid w:val="00487AC2"/>
    <w:rsid w:val="004A1C48"/>
    <w:rsid w:val="004A3052"/>
    <w:rsid w:val="004B0E28"/>
    <w:rsid w:val="004B29D0"/>
    <w:rsid w:val="005035DE"/>
    <w:rsid w:val="0051230E"/>
    <w:rsid w:val="00512C31"/>
    <w:rsid w:val="00552362"/>
    <w:rsid w:val="005A679C"/>
    <w:rsid w:val="005D1FAF"/>
    <w:rsid w:val="00625C8D"/>
    <w:rsid w:val="00652DDC"/>
    <w:rsid w:val="006619C3"/>
    <w:rsid w:val="006F3B35"/>
    <w:rsid w:val="00700A54"/>
    <w:rsid w:val="00703584"/>
    <w:rsid w:val="007368DA"/>
    <w:rsid w:val="007504F3"/>
    <w:rsid w:val="0078453D"/>
    <w:rsid w:val="007B0226"/>
    <w:rsid w:val="007F744B"/>
    <w:rsid w:val="008366C9"/>
    <w:rsid w:val="008503BD"/>
    <w:rsid w:val="008644C4"/>
    <w:rsid w:val="00866CB8"/>
    <w:rsid w:val="00871279"/>
    <w:rsid w:val="00880BCB"/>
    <w:rsid w:val="0090608E"/>
    <w:rsid w:val="0092322F"/>
    <w:rsid w:val="00923494"/>
    <w:rsid w:val="009261AF"/>
    <w:rsid w:val="00936D12"/>
    <w:rsid w:val="00960B72"/>
    <w:rsid w:val="00966482"/>
    <w:rsid w:val="0098136A"/>
    <w:rsid w:val="009C4C68"/>
    <w:rsid w:val="00A55E53"/>
    <w:rsid w:val="00AD161E"/>
    <w:rsid w:val="00B26185"/>
    <w:rsid w:val="00B70C4E"/>
    <w:rsid w:val="00B803A7"/>
    <w:rsid w:val="00BB419A"/>
    <w:rsid w:val="00BF3F05"/>
    <w:rsid w:val="00C011FE"/>
    <w:rsid w:val="00C05378"/>
    <w:rsid w:val="00C06A72"/>
    <w:rsid w:val="00C27833"/>
    <w:rsid w:val="00C27FFD"/>
    <w:rsid w:val="00C3202A"/>
    <w:rsid w:val="00C43614"/>
    <w:rsid w:val="00C56B7E"/>
    <w:rsid w:val="00C6280B"/>
    <w:rsid w:val="00C97E8D"/>
    <w:rsid w:val="00CB1944"/>
    <w:rsid w:val="00CD18BD"/>
    <w:rsid w:val="00CF2232"/>
    <w:rsid w:val="00CF2A9C"/>
    <w:rsid w:val="00D01DF0"/>
    <w:rsid w:val="00D243E5"/>
    <w:rsid w:val="00DB37C4"/>
    <w:rsid w:val="00DC032E"/>
    <w:rsid w:val="00DE1FCC"/>
    <w:rsid w:val="00DE4E3B"/>
    <w:rsid w:val="00DF2A00"/>
    <w:rsid w:val="00E42831"/>
    <w:rsid w:val="00E4545D"/>
    <w:rsid w:val="00E457CF"/>
    <w:rsid w:val="00EF7107"/>
    <w:rsid w:val="00F3345E"/>
    <w:rsid w:val="00F409D0"/>
    <w:rsid w:val="00F70C5D"/>
    <w:rsid w:val="00F87D09"/>
    <w:rsid w:val="00F96D93"/>
    <w:rsid w:val="00FA1FEC"/>
    <w:rsid w:val="00FA33D4"/>
    <w:rsid w:val="00FE32BD"/>
    <w:rsid w:val="00FE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E0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AF"/>
    <w:pPr>
      <w:ind w:left="720"/>
      <w:contextualSpacing/>
    </w:pPr>
  </w:style>
  <w:style w:type="character" w:styleId="CommentReference">
    <w:name w:val="annotation reference"/>
    <w:basedOn w:val="DefaultParagraphFont"/>
    <w:uiPriority w:val="99"/>
    <w:semiHidden/>
    <w:unhideWhenUsed/>
    <w:rsid w:val="001E5ECF"/>
    <w:rPr>
      <w:sz w:val="16"/>
      <w:szCs w:val="16"/>
    </w:rPr>
  </w:style>
  <w:style w:type="paragraph" w:styleId="CommentText">
    <w:name w:val="annotation text"/>
    <w:basedOn w:val="Normal"/>
    <w:link w:val="CommentTextChar"/>
    <w:uiPriority w:val="99"/>
    <w:semiHidden/>
    <w:unhideWhenUsed/>
    <w:rsid w:val="001E5ECF"/>
    <w:pPr>
      <w:spacing w:line="240" w:lineRule="auto"/>
    </w:pPr>
    <w:rPr>
      <w:sz w:val="20"/>
      <w:szCs w:val="20"/>
    </w:rPr>
  </w:style>
  <w:style w:type="character" w:customStyle="1" w:styleId="CommentTextChar">
    <w:name w:val="Comment Text Char"/>
    <w:basedOn w:val="DefaultParagraphFont"/>
    <w:link w:val="CommentText"/>
    <w:uiPriority w:val="99"/>
    <w:semiHidden/>
    <w:rsid w:val="001E5ECF"/>
    <w:rPr>
      <w:sz w:val="20"/>
      <w:szCs w:val="20"/>
    </w:rPr>
  </w:style>
  <w:style w:type="paragraph" w:styleId="CommentSubject">
    <w:name w:val="annotation subject"/>
    <w:basedOn w:val="CommentText"/>
    <w:next w:val="CommentText"/>
    <w:link w:val="CommentSubjectChar"/>
    <w:uiPriority w:val="99"/>
    <w:semiHidden/>
    <w:unhideWhenUsed/>
    <w:rsid w:val="001E5ECF"/>
    <w:rPr>
      <w:b/>
      <w:bCs/>
    </w:rPr>
  </w:style>
  <w:style w:type="character" w:customStyle="1" w:styleId="CommentSubjectChar">
    <w:name w:val="Comment Subject Char"/>
    <w:basedOn w:val="CommentTextChar"/>
    <w:link w:val="CommentSubject"/>
    <w:uiPriority w:val="99"/>
    <w:semiHidden/>
    <w:rsid w:val="001E5ECF"/>
    <w:rPr>
      <w:b/>
      <w:bCs/>
      <w:sz w:val="20"/>
      <w:szCs w:val="20"/>
    </w:rPr>
  </w:style>
  <w:style w:type="paragraph" w:styleId="BalloonText">
    <w:name w:val="Balloon Text"/>
    <w:basedOn w:val="Normal"/>
    <w:link w:val="BalloonTextChar"/>
    <w:uiPriority w:val="99"/>
    <w:semiHidden/>
    <w:unhideWhenUsed/>
    <w:rsid w:val="001E5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ECF"/>
    <w:rPr>
      <w:rFonts w:ascii="Segoe UI" w:hAnsi="Segoe UI" w:cs="Segoe UI"/>
      <w:sz w:val="18"/>
      <w:szCs w:val="18"/>
    </w:rPr>
  </w:style>
  <w:style w:type="table" w:styleId="TableGrid">
    <w:name w:val="Table Grid"/>
    <w:basedOn w:val="TableNormal"/>
    <w:uiPriority w:val="59"/>
    <w:rsid w:val="00C05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714"/>
  </w:style>
  <w:style w:type="paragraph" w:styleId="Footer">
    <w:name w:val="footer"/>
    <w:basedOn w:val="Normal"/>
    <w:link w:val="FooterChar"/>
    <w:uiPriority w:val="99"/>
    <w:unhideWhenUsed/>
    <w:rsid w:val="0046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714"/>
  </w:style>
  <w:style w:type="table" w:styleId="TableGridLight">
    <w:name w:val="Grid Table Light"/>
    <w:basedOn w:val="TableNormal"/>
    <w:uiPriority w:val="40"/>
    <w:rsid w:val="00CF223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F223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223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223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F223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44154">
      <w:bodyDiv w:val="1"/>
      <w:marLeft w:val="0"/>
      <w:marRight w:val="0"/>
      <w:marTop w:val="0"/>
      <w:marBottom w:val="0"/>
      <w:divBdr>
        <w:top w:val="none" w:sz="0" w:space="0" w:color="auto"/>
        <w:left w:val="none" w:sz="0" w:space="0" w:color="auto"/>
        <w:bottom w:val="none" w:sz="0" w:space="0" w:color="auto"/>
        <w:right w:val="none" w:sz="0" w:space="0" w:color="auto"/>
      </w:divBdr>
    </w:div>
    <w:div w:id="15037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EF7D3-3AFA-0F42-A601-A7CF04FEA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2016</Words>
  <Characters>11494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Sparks</dc:creator>
  <cp:lastModifiedBy>Microsoft Office User</cp:lastModifiedBy>
  <cp:revision>2</cp:revision>
  <dcterms:created xsi:type="dcterms:W3CDTF">2017-04-03T02:52:00Z</dcterms:created>
  <dcterms:modified xsi:type="dcterms:W3CDTF">2017-04-03T02:52:00Z</dcterms:modified>
</cp:coreProperties>
</file>