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7B61FF"/>
          <w:sz w:val="20"/>
          <w:szCs w:val="20"/>
        </w:rPr>
        <w:t xml:space="preserve">WHAIR, INC.</w:t>
      </w:r>
    </w:p>
    <w:p>
      <w:pPr>
        <w:pBdr>
          <w:bottom w:val="single" w:color="7B61FF" w:sz="6" w:space="1"/>
        </w:pBdr>
        <w:spacing w:after="40"/>
      </w:pPr>
    </w:p>
    <w:p>
      <w:pPr>
        <w:spacing w:after="400"/>
      </w:pPr>
      <w:r>
        <w:rPr>
          <w:rFonts w:ascii="Arial" w:cs="Arial" w:eastAsia="Arial" w:hAnsi="Arial"/>
          <w:i/>
          <w:iCs/>
          <w:color w:val="666666"/>
          <w:sz w:val="18"/>
          <w:szCs w:val="18"/>
        </w:rPr>
        <w:t xml:space="preserve">Confidential, Internal</w:t>
      </w:r>
    </w:p>
    <w:p>
      <w:pPr>
        <w:pStyle w:val="Heading1"/>
      </w:pPr>
      <w:r>
        <w:rPr>
          <w:rFonts w:ascii="Arial" w:cs="Arial" w:eastAsia="Arial" w:hAnsi="Arial"/>
          <w:b/>
          <w:bCs/>
          <w:color w:val="1A1A2E"/>
          <w:sz w:val="36"/>
          <w:szCs w:val="36"/>
        </w:rPr>
        <w:t xml:space="preserve">Demo-Ready Beta: 30-Day Sprint Plan</w:t>
      </w:r>
    </w:p>
    <w:p>
      <w:pPr>
        <w:spacing w:after="60"/>
      </w:pPr>
      <w:r>
        <w:rPr>
          <w:rFonts w:ascii="Arial" w:cs="Arial" w:eastAsia="Arial" w:hAnsi="Arial"/>
          <w:color w:val="666666"/>
          <w:sz w:val="20"/>
          <w:szCs w:val="20"/>
        </w:rPr>
        <w:t xml:space="preserve">Prepared by: Nyree (Founder &amp; CEO, Whair)</w:t>
      </w:r>
    </w:p>
    <w:p>
      <w:pPr>
        <w:spacing w:after="60"/>
      </w:pPr>
      <w:r>
        <w:rPr>
          <w:rFonts w:ascii="Arial" w:cs="Arial" w:eastAsia="Arial" w:hAnsi="Arial"/>
          <w:color w:val="666666"/>
          <w:sz w:val="20"/>
          <w:szCs w:val="20"/>
        </w:rPr>
        <w:t xml:space="preserve">Based on: Alae's Competitor Review, Pillar Assessment &amp; Beta Readiness (March 2026)</w:t>
      </w:r>
    </w:p>
    <w:p>
      <w:pPr>
        <w:spacing w:after="400"/>
      </w:pPr>
      <w:r>
        <w:rPr>
          <w:rFonts w:ascii="Arial" w:cs="Arial" w:eastAsia="Arial" w:hAnsi="Arial"/>
          <w:b/>
          <w:bCs/>
          <w:color w:val="1A7A4A"/>
          <w:sz w:val="20"/>
          <w:szCs w:val="20"/>
        </w:rPr>
        <w:t xml:space="preserve">Target: Demo-ready in under 30 days</w:t>
      </w:r>
    </w:p>
    <w:p>
      <w:pPr>
        <w:pStyle w:val="Heading2"/>
      </w:pPr>
      <w:r>
        <w:rPr>
          <w:rFonts w:ascii="Arial" w:cs="Arial" w:eastAsia="Arial" w:hAnsi="Arial"/>
          <w:b/>
          <w:bCs/>
          <w:color w:val="7B61FF"/>
          <w:sz w:val="26"/>
          <w:szCs w:val="26"/>
        </w:rPr>
        <w:t xml:space="preserve">The Standard</w:t>
      </w:r>
    </w:p>
    <w:p>
      <w:pPr>
        <w:spacing w:after="400"/>
      </w:pPr>
      <w:r>
        <w:rPr>
          <w:rFonts w:ascii="Arial" w:cs="Arial" w:eastAsia="Arial" w:hAnsi="Arial"/>
          <w:sz w:val="22"/>
          <w:szCs w:val="22"/>
        </w:rPr>
        <w:t xml:space="preserve">Demo-ready means one creator can move through all four pillars in a single live walkthrough. The flow does not need to scale. It does not need to be hardened. It needs to feel real, move logically, and tell the platform story. Everything scoped here is drawn directly from Alae's own technical assessment.</w:t>
      </w:r>
    </w:p>
    <w:p>
      <w:pPr>
        <w:pStyle w:val="Heading2"/>
      </w:pPr>
      <w:r>
        <w:rPr>
          <w:rFonts w:ascii="Arial" w:cs="Arial" w:eastAsia="Arial" w:hAnsi="Arial"/>
          <w:b/>
          <w:bCs/>
          <w:color w:val="7B61FF"/>
          <w:sz w:val="26"/>
          <w:szCs w:val="26"/>
        </w:rPr>
        <w:t xml:space="preserve">Pillar Summary</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Pillar</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Demo Standard</w:t>
            </w:r>
          </w:p>
        </w:tc>
        <w:tc>
          <w:tcPr>
            <w:tcW w:type="dxa" w:w="2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Tools (per Alae)</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3120"/>
            <w:tcBorders>
              <w:top w:val="single" w:color="DDDDDD" w:sz="1"/>
              <w:left w:val="single" w:color="DDDDDD" w:sz="1"/>
              <w:bottom w:val="single" w:color="DDDDDD" w:sz="1"/>
              <w:right w:val="single" w:color="DDDDDD" w:sz="1"/>
            </w:tcBorders>
            <w:shd w:fill="EDE9FF" w:val="clear"/>
            <w:tcMar>
              <w:top w:type="dxa" w:w="100"/>
              <w:left w:type="dxa" w:w="140"/>
              <w:bottom w:type="dxa" w:w="100"/>
              <w:right w:type="dxa" w:w="140"/>
            </w:tcMar>
            <w:vAlign w:val="top"/>
          </w:tcPr>
          <w:p>
            <w:r>
              <w:rPr>
                <w:rFonts w:ascii="Arial" w:cs="Arial" w:eastAsia="Arial" w:hAnsi="Arial"/>
                <w:b/>
                <w:bCs/>
                <w:color w:val="000000"/>
                <w:sz w:val="20"/>
                <w:szCs w:val="20"/>
              </w:rPr>
              <w:t xml:space="preserve">Verification</w:t>
            </w:r>
          </w:p>
        </w:tc>
        <w:tc>
          <w:tcPr>
            <w:tcW w:type="dxa" w:w="3120"/>
            <w:tcBorders>
              <w:top w:val="single" w:color="DDDDDD" w:sz="1"/>
              <w:left w:val="single" w:color="DDDDDD" w:sz="1"/>
              <w:bottom w:val="single" w:color="DDDDDD" w:sz="1"/>
              <w:right w:val="single" w:color="DDDDDD" w:sz="1"/>
            </w:tcBorders>
            <w:shd w:fill="EDE9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C2PA enrollment, provenance viewer, signed asset export</w:t>
            </w:r>
          </w:p>
        </w:tc>
        <w:tc>
          <w:tcPr>
            <w:tcW w:type="dxa" w:w="3120"/>
            <w:tcBorders>
              <w:top w:val="single" w:color="DDDDDD" w:sz="1"/>
              <w:left w:val="single" w:color="DDDDDD" w:sz="1"/>
              <w:bottom w:val="single" w:color="DDDDDD" w:sz="1"/>
              <w:right w:val="single" w:color="DDDDDD" w:sz="1"/>
            </w:tcBorders>
            <w:shd w:fill="EDE9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C2PA open source SDK (free)</w:t>
            </w:r>
          </w:p>
        </w:tc>
        <w:tc>
          <w:tcPr>
            <w:tcW w:type="dxa" w:w="3120"/>
            <w:tcBorders>
              <w:top w:val="single" w:color="DDDDDD" w:sz="1"/>
              <w:left w:val="single" w:color="DDDDDD" w:sz="1"/>
              <w:bottom w:val="single" w:color="DDDDDD" w:sz="1"/>
              <w:right w:val="single" w:color="DDDDDD" w:sz="1"/>
            </w:tcBorders>
            <w:shd w:fill="EDE9FF" w:val="clear"/>
            <w:tcMar>
              <w:top w:type="dxa" w:w="100"/>
              <w:left w:type="dxa" w:w="140"/>
              <w:bottom w:type="dxa" w:w="100"/>
              <w:right w:type="dxa" w:w="140"/>
            </w:tcMar>
            <w:vAlign w:val="top"/>
          </w:tcPr>
          <w:p>
            <w:r>
              <w:rPr>
                <w:rFonts w:ascii="Arial" w:cs="Arial" w:eastAsia="Arial" w:hAnsi="Arial"/>
                <w:b w:val="false"/>
                <w:bCs w:val="false"/>
                <w:color w:val="1A7A4A"/>
                <w:sz w:val="20"/>
                <w:szCs w:val="20"/>
              </w:rPr>
              <w:t xml:space="preserve">Excellent — fastest to build, highest differentiation</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Detection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Creator uploads asset, Whair returns matches with source URLs, screenshots, and timestamps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Rekognition (free tier) + TinEye ($200/mo)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Demo-ready — scoped to targeted discovery, not full crawl</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bCs/>
                <w:color w:val="000000"/>
                <w:sz w:val="20"/>
                <w:szCs w:val="20"/>
              </w:rPr>
              <w:t xml:space="preserve">Enforcement</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Creator generates takedown packet and routes to correct platform form</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YouTube, Instagram, TikTok, X reporting entry points (no API cost)</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Demo-ready — semi-manual with pre-filled templates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Monetization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Creator sees licensing option and can approve, deny, or set a price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Stripe Connect (pay-as-you-go, negligible at beta volume)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Conceptual — UI decision flow, does not need full backend at demo</w:t>
            </w:r>
          </w:p>
        </w:tc>
      </w:tr>
    </w:tbl>
    <w:p>
      <w:pPr>
        <w:spacing w:after="400"/>
      </w:pPr>
    </w:p>
    <w:p>
      <w:pPr>
        <w:pStyle w:val="Heading2"/>
      </w:pPr>
      <w:r>
        <w:rPr>
          <w:rFonts w:ascii="Arial" w:cs="Arial" w:eastAsia="Arial" w:hAnsi="Arial"/>
          <w:b/>
          <w:bCs/>
          <w:color w:val="7B61FF"/>
          <w:sz w:val="26"/>
          <w:szCs w:val="26"/>
        </w:rPr>
        <w:t xml:space="preserve">Sprint Breakdown</w:t>
      </w:r>
    </w:p>
    <w:p>
      <w:pPr>
        <w:spacing w:after="280"/>
      </w:pPr>
      <w:r>
        <w:rPr>
          <w:rFonts w:ascii="Arial" w:cs="Arial" w:eastAsia="Arial" w:hAnsi="Arial"/>
          <w:sz w:val="22"/>
          <w:szCs w:val="22"/>
        </w:rPr>
        <w:t xml:space="preserve">Each week has a clear deliverable. The demo flow is complete by end of Week 3. Week 4 is buffer and polish.</w:t>
      </w:r>
    </w:p>
    <w:p>
      <w:pPr>
        <w:spacing w:after="120"/>
      </w:pPr>
      <w:r>
        <w:rPr>
          <w:rFonts w:ascii="Arial" w:cs="Arial" w:eastAsia="Arial" w:hAnsi="Arial"/>
          <w:b/>
          <w:bCs/>
          <w:color w:val="7B61FF"/>
          <w:sz w:val="24"/>
          <w:szCs w:val="24"/>
        </w:rPr>
        <w:t xml:space="preserve">Week 1: Verification + Identity Enrollment</w:t>
      </w:r>
    </w:p>
    <w:p>
      <w:pPr>
        <w:pStyle w:val="ListParagraph"/>
        <w:numPr>
          <w:ilvl w:val="0"/>
          <w:numId w:val="2"/>
        </w:numPr>
      </w:pPr>
      <w:r>
        <w:rPr>
          <w:rFonts w:ascii="Arial" w:cs="Arial" w:eastAsia="Arial" w:hAnsi="Arial"/>
          <w:sz w:val="22"/>
          <w:szCs w:val="22"/>
        </w:rPr>
        <w:t xml:space="preserve">Creator enrollment flow: multi-photo capture with manual verification</w:t>
      </w:r>
    </w:p>
    <w:p>
      <w:pPr>
        <w:pStyle w:val="ListParagraph"/>
        <w:numPr>
          <w:ilvl w:val="0"/>
          <w:numId w:val="2"/>
        </w:numPr>
      </w:pPr>
      <w:r>
        <w:rPr>
          <w:rFonts w:ascii="Arial" w:cs="Arial" w:eastAsia="Arial" w:hAnsi="Arial"/>
          <w:sz w:val="22"/>
          <w:szCs w:val="22"/>
        </w:rPr>
        <w:t xml:space="preserve">C2PA SDK integration: canonical assets tied to identity with signed registration records</w:t>
      </w:r>
    </w:p>
    <w:p>
      <w:pPr>
        <w:pStyle w:val="ListParagraph"/>
        <w:numPr>
          <w:ilvl w:val="0"/>
          <w:numId w:val="2"/>
        </w:numPr>
      </w:pPr>
      <w:r>
        <w:rPr>
          <w:rFonts w:ascii="Arial" w:cs="Arial" w:eastAsia="Arial" w:hAnsi="Arial"/>
          <w:sz w:val="22"/>
          <w:szCs w:val="22"/>
        </w:rPr>
        <w:t xml:space="preserve">Provenance viewer: upload any asset and see whether it carries provenance metadata</w:t>
      </w:r>
    </w:p>
    <w:p>
      <w:pPr>
        <w:pStyle w:val="ListParagraph"/>
        <w:numPr>
          <w:ilvl w:val="0"/>
          <w:numId w:val="2"/>
        </w:numPr>
        <w:spacing w:after="120"/>
      </w:pPr>
      <w:r>
        <w:rPr>
          <w:rFonts w:ascii="Arial" w:cs="Arial" w:eastAsia="Arial" w:hAnsi="Arial"/>
          <w:sz w:val="22"/>
          <w:szCs w:val="22"/>
        </w:rPr>
        <w:t xml:space="preserve">Verified content export: creators generate C2PA-signed images for official releases</w:t>
      </w:r>
    </w:p>
    <w:p>
      <w:pPr>
        <w:spacing w:after="320"/>
      </w:pPr>
      <w:r>
        <w:rPr>
          <w:rFonts w:ascii="Arial" w:cs="Arial" w:eastAsia="Arial" w:hAnsi="Arial"/>
          <w:i/>
          <w:iCs/>
          <w:color w:val="666666"/>
          <w:sz w:val="22"/>
          <w:szCs w:val="22"/>
        </w:rPr>
        <w:t xml:space="preserve">Deliverable: Creator can enroll, register assets, and export verified content.</w:t>
      </w:r>
    </w:p>
    <w:p>
      <w:pPr>
        <w:spacing w:after="120"/>
      </w:pPr>
      <w:r>
        <w:rPr>
          <w:rFonts w:ascii="Arial" w:cs="Arial" w:eastAsia="Arial" w:hAnsi="Arial"/>
          <w:b/>
          <w:bCs/>
          <w:color w:val="7B61FF"/>
          <w:sz w:val="24"/>
          <w:szCs w:val="24"/>
        </w:rPr>
        <w:t xml:space="preserve">Week 2: Detection + Evidence Packaging</w:t>
      </w:r>
    </w:p>
    <w:p>
      <w:pPr>
        <w:pStyle w:val="ListParagraph"/>
        <w:numPr>
          <w:ilvl w:val="0"/>
          <w:numId w:val="2"/>
        </w:numPr>
      </w:pPr>
      <w:r>
        <w:rPr>
          <w:rFonts w:ascii="Arial" w:cs="Arial" w:eastAsia="Arial" w:hAnsi="Arial"/>
          <w:sz w:val="22"/>
          <w:szCs w:val="22"/>
        </w:rPr>
        <w:t xml:space="preserve">Face reference enrollment: creator submits 5-20 reference images</w:t>
      </w:r>
    </w:p>
    <w:p>
      <w:pPr>
        <w:pStyle w:val="ListParagraph"/>
        <w:numPr>
          <w:ilvl w:val="0"/>
          <w:numId w:val="2"/>
        </w:numPr>
      </w:pPr>
      <w:r>
        <w:rPr>
          <w:rFonts w:ascii="Arial" w:cs="Arial" w:eastAsia="Arial" w:hAnsi="Arial"/>
          <w:sz w:val="22"/>
          <w:szCs w:val="22"/>
        </w:rPr>
        <w:t xml:space="preserve">AWS Rekognition integration: face matching against user-submitted URLs</w:t>
      </w:r>
    </w:p>
    <w:p>
      <w:pPr>
        <w:pStyle w:val="ListParagraph"/>
        <w:numPr>
          <w:ilvl w:val="0"/>
          <w:numId w:val="2"/>
        </w:numPr>
      </w:pPr>
      <w:r>
        <w:rPr>
          <w:rFonts w:ascii="Arial" w:cs="Arial" w:eastAsia="Arial" w:hAnsi="Arial"/>
          <w:sz w:val="22"/>
          <w:szCs w:val="22"/>
        </w:rPr>
        <w:t xml:space="preserve">TinEye integration: web occurrence discovery for specific images</w:t>
      </w:r>
    </w:p>
    <w:p>
      <w:pPr>
        <w:pStyle w:val="ListParagraph"/>
        <w:numPr>
          <w:ilvl w:val="0"/>
          <w:numId w:val="2"/>
        </w:numPr>
      </w:pPr>
      <w:r>
        <w:rPr>
          <w:rFonts w:ascii="Arial" w:cs="Arial" w:eastAsia="Arial" w:hAnsi="Arial"/>
          <w:sz w:val="22"/>
          <w:szCs w:val="22"/>
        </w:rPr>
        <w:t xml:space="preserve">Incident storage: URL, screenshot, match confidence score, timestamp, hash</w:t>
      </w:r>
    </w:p>
    <w:p>
      <w:pPr>
        <w:pStyle w:val="ListParagraph"/>
        <w:numPr>
          <w:ilvl w:val="0"/>
          <w:numId w:val="2"/>
        </w:numPr>
        <w:spacing w:after="120"/>
      </w:pPr>
      <w:r>
        <w:rPr>
          <w:rFonts w:ascii="Arial" w:cs="Arial" w:eastAsia="Arial" w:hAnsi="Arial"/>
          <w:sz w:val="22"/>
          <w:szCs w:val="22"/>
        </w:rPr>
        <w:t xml:space="preserve">Alerts feed surfaces detections in the dashboard</w:t>
      </w:r>
    </w:p>
    <w:p>
      <w:pPr>
        <w:spacing w:after="320"/>
      </w:pPr>
      <w:r>
        <w:rPr>
          <w:rFonts w:ascii="Arial" w:cs="Arial" w:eastAsia="Arial" w:hAnsi="Arial"/>
          <w:i/>
          <w:iCs/>
          <w:color w:val="666666"/>
          <w:sz w:val="22"/>
          <w:szCs w:val="22"/>
        </w:rPr>
        <w:t xml:space="preserve">Deliverable: Creator can see where their likeness appeared with full evidence detail.</w:t>
      </w:r>
    </w:p>
    <w:p>
      <w:pPr>
        <w:spacing w:after="120"/>
      </w:pPr>
      <w:r>
        <w:rPr>
          <w:rFonts w:ascii="Arial" w:cs="Arial" w:eastAsia="Arial" w:hAnsi="Arial"/>
          <w:b/>
          <w:bCs/>
          <w:color w:val="7B61FF"/>
          <w:sz w:val="24"/>
          <w:szCs w:val="24"/>
        </w:rPr>
        <w:t xml:space="preserve">Week 3: Enforcement + Monetization UI</w:t>
      </w:r>
    </w:p>
    <w:p>
      <w:pPr>
        <w:pStyle w:val="ListParagraph"/>
        <w:numPr>
          <w:ilvl w:val="0"/>
          <w:numId w:val="2"/>
        </w:numPr>
      </w:pPr>
      <w:r>
        <w:rPr>
          <w:rFonts w:ascii="Arial" w:cs="Arial" w:eastAsia="Arial" w:hAnsi="Arial"/>
          <w:sz w:val="22"/>
          <w:szCs w:val="22"/>
        </w:rPr>
        <w:t xml:space="preserve">Action center per incident: generate takedown packet with URL, screenshot, timestamp, hash, provenance record, and statement of rights</w:t>
      </w:r>
    </w:p>
    <w:p>
      <w:pPr>
        <w:pStyle w:val="ListParagraph"/>
        <w:numPr>
          <w:ilvl w:val="0"/>
          <w:numId w:val="2"/>
        </w:numPr>
      </w:pPr>
      <w:r>
        <w:rPr>
          <w:rFonts w:ascii="Arial" w:cs="Arial" w:eastAsia="Arial" w:hAnsi="Arial"/>
          <w:sz w:val="22"/>
          <w:szCs w:val="22"/>
        </w:rPr>
        <w:t xml:space="preserve">Platform routing: pre-filled forms mapped to YouTube, Instagram, TikTok, and X reporting entry points</w:t>
      </w:r>
    </w:p>
    <w:p>
      <w:pPr>
        <w:pStyle w:val="ListParagraph"/>
        <w:numPr>
          <w:ilvl w:val="0"/>
          <w:numId w:val="2"/>
        </w:numPr>
      </w:pPr>
      <w:r>
        <w:rPr>
          <w:rFonts w:ascii="Arial" w:cs="Arial" w:eastAsia="Arial" w:hAnsi="Arial"/>
          <w:sz w:val="22"/>
          <w:szCs w:val="22"/>
        </w:rPr>
        <w:t xml:space="preserve">Status tracking: submitted, acknowledged, removed, denied</w:t>
      </w:r>
    </w:p>
    <w:p>
      <w:pPr>
        <w:pStyle w:val="ListParagraph"/>
        <w:numPr>
          <w:ilvl w:val="0"/>
          <w:numId w:val="2"/>
        </w:numPr>
      </w:pPr>
      <w:r>
        <w:rPr>
          <w:rFonts w:ascii="Arial" w:cs="Arial" w:eastAsia="Arial" w:hAnsi="Arial"/>
          <w:sz w:val="22"/>
          <w:szCs w:val="22"/>
        </w:rPr>
        <w:t xml:space="preserve">Monetization decision screen: creator can approve use, set a price, or request removal</w:t>
      </w:r>
    </w:p>
    <w:p>
      <w:pPr>
        <w:pStyle w:val="ListParagraph"/>
        <w:numPr>
          <w:ilvl w:val="0"/>
          <w:numId w:val="2"/>
        </w:numPr>
        <w:spacing w:after="120"/>
      </w:pPr>
      <w:r>
        <w:rPr>
          <w:rFonts w:ascii="Arial" w:cs="Arial" w:eastAsia="Arial" w:hAnsi="Arial"/>
          <w:sz w:val="22"/>
          <w:szCs w:val="22"/>
        </w:rPr>
        <w:t xml:space="preserve">Stripe Connect wired to licensing approval flow</w:t>
      </w:r>
    </w:p>
    <w:p>
      <w:pPr>
        <w:spacing w:after="320"/>
      </w:pPr>
      <w:r>
        <w:rPr>
          <w:rFonts w:ascii="Arial" w:cs="Arial" w:eastAsia="Arial" w:hAnsi="Arial"/>
          <w:i/>
          <w:iCs/>
          <w:color w:val="666666"/>
          <w:sz w:val="22"/>
          <w:szCs w:val="22"/>
        </w:rPr>
        <w:t xml:space="preserve">Deliverable: Full demo flow is live. Upload, detect, verify, enforce or monetize.</w:t>
      </w:r>
    </w:p>
    <w:p>
      <w:pPr>
        <w:spacing w:after="120"/>
      </w:pPr>
      <w:r>
        <w:rPr>
          <w:rFonts w:ascii="Arial" w:cs="Arial" w:eastAsia="Arial" w:hAnsi="Arial"/>
          <w:b/>
          <w:bCs/>
          <w:color w:val="7B61FF"/>
          <w:sz w:val="24"/>
          <w:szCs w:val="24"/>
        </w:rPr>
        <w:t xml:space="preserve">Week 4: Polish, Stability, and Demo Prep</w:t>
      </w:r>
    </w:p>
    <w:p>
      <w:pPr>
        <w:pStyle w:val="ListParagraph"/>
        <w:numPr>
          <w:ilvl w:val="0"/>
          <w:numId w:val="2"/>
        </w:numPr>
      </w:pPr>
      <w:r>
        <w:rPr>
          <w:rFonts w:ascii="Arial" w:cs="Arial" w:eastAsia="Arial" w:hAnsi="Arial"/>
          <w:sz w:val="22"/>
          <w:szCs w:val="22"/>
        </w:rPr>
        <w:t xml:space="preserve">UI alignment pass: confirm dashboard reflects what is actually shipping versus what comes later</w:t>
      </w:r>
    </w:p>
    <w:p>
      <w:pPr>
        <w:pStyle w:val="ListParagraph"/>
        <w:numPr>
          <w:ilvl w:val="0"/>
          <w:numId w:val="2"/>
        </w:numPr>
      </w:pPr>
      <w:r>
        <w:rPr>
          <w:rFonts w:ascii="Arial" w:cs="Arial" w:eastAsia="Arial" w:hAnsi="Arial"/>
          <w:sz w:val="22"/>
          <w:szCs w:val="22"/>
        </w:rPr>
        <w:t xml:space="preserve">Biometric data handling: embeddings stored not raw media, encryption and deletion semantics confirmed</w:t>
      </w:r>
    </w:p>
    <w:p>
      <w:pPr>
        <w:pStyle w:val="ListParagraph"/>
        <w:numPr>
          <w:ilvl w:val="0"/>
          <w:numId w:val="2"/>
        </w:numPr>
      </w:pPr>
      <w:r>
        <w:rPr>
          <w:rFonts w:ascii="Arial" w:cs="Arial" w:eastAsia="Arial" w:hAnsi="Arial"/>
          <w:sz w:val="22"/>
          <w:szCs w:val="22"/>
        </w:rPr>
        <w:t xml:space="preserve">Metadata stripping edge case: provenance viewer positioned as the verification point of record</w:t>
      </w:r>
    </w:p>
    <w:p>
      <w:pPr>
        <w:pStyle w:val="ListParagraph"/>
        <w:numPr>
          <w:ilvl w:val="0"/>
          <w:numId w:val="2"/>
        </w:numPr>
      </w:pPr>
      <w:r>
        <w:rPr>
          <w:rFonts w:ascii="Arial" w:cs="Arial" w:eastAsia="Arial" w:hAnsi="Arial"/>
          <w:sz w:val="22"/>
          <w:szCs w:val="22"/>
        </w:rPr>
        <w:t xml:space="preserve">Seeded demo data loaded for anchor walkthrough</w:t>
      </w:r>
    </w:p>
    <w:p>
      <w:pPr>
        <w:pStyle w:val="ListParagraph"/>
        <w:numPr>
          <w:ilvl w:val="0"/>
          <w:numId w:val="2"/>
        </w:numPr>
        <w:spacing w:after="120"/>
      </w:pPr>
      <w:r>
        <w:rPr>
          <w:rFonts w:ascii="Arial" w:cs="Arial" w:eastAsia="Arial" w:hAnsi="Arial"/>
          <w:sz w:val="22"/>
          <w:szCs w:val="22"/>
        </w:rPr>
        <w:t xml:space="preserve">End-to-end demo run completed and stable</w:t>
      </w:r>
    </w:p>
    <w:p>
      <w:pPr>
        <w:spacing w:after="400"/>
      </w:pPr>
      <w:r>
        <w:rPr>
          <w:rFonts w:ascii="Arial" w:cs="Arial" w:eastAsia="Arial" w:hAnsi="Arial"/>
          <w:i/>
          <w:iCs/>
          <w:color w:val="666666"/>
          <w:sz w:val="22"/>
          <w:szCs w:val="22"/>
        </w:rPr>
        <w:t xml:space="preserve">Deliverable: Demo is investor and anchor ready.</w:t>
      </w:r>
    </w:p>
    <w:p>
      <w:pPr>
        <w:pStyle w:val="Heading2"/>
      </w:pPr>
      <w:r>
        <w:rPr>
          <w:rFonts w:ascii="Arial" w:cs="Arial" w:eastAsia="Arial" w:hAnsi="Arial"/>
          <w:b/>
          <w:bCs/>
          <w:color w:val="7B61FF"/>
          <w:sz w:val="26"/>
          <w:szCs w:val="26"/>
        </w:rPr>
        <w:t xml:space="preserve">AWS Infrastructure for Demo-Ready Beta</w:t>
      </w:r>
    </w:p>
    <w:p>
      <w:pPr>
        <w:spacing w:after="200"/>
      </w:pPr>
      <w:r>
        <w:rPr>
          <w:rFonts w:ascii="Arial" w:cs="Arial" w:eastAsia="Arial" w:hAnsi="Arial"/>
          <w:sz w:val="22"/>
          <w:szCs w:val="22"/>
        </w:rPr>
        <w:t xml:space="preserve">The full backend stack runs on AWS. At demo volume, the majority of services stay within free tier limits. Here is how each service maps to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AWS Service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3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Role in Demo</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Pillar</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Rekognition</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5,000 images/mo (12 months)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Face detection and comparison against user-submitted URLs and enrolled reference images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Detection</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bCs/>
                <w:color w:val="000000"/>
                <w:sz w:val="20"/>
                <w:szCs w:val="20"/>
              </w:rPr>
              <w:t xml:space="preserve">S3</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 GB storage</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Storage for uploaded assets, screenshots, embeddings, and evidence packets</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All pillars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Lambda</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1M requests/mo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Backend logic connecting the UI to Rekognition, TinEye, C2PA processing, and Stripe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All pillars</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bCs/>
                <w:color w:val="000000"/>
                <w:sz w:val="20"/>
                <w:szCs w:val="20"/>
              </w:rPr>
              <w:t xml:space="preserve">DynamoDB</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25 GB storage</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Incident storage: URLs, timestamps, match scores, hashes, case status, creator records</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Detection, Enforcement</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Cognito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50,000 MAUs</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Creator authentication and session management so the demo feels like a real product</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All pillars</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bCs/>
                <w:color w:val="000000"/>
                <w:sz w:val="20"/>
                <w:szCs w:val="20"/>
              </w:rPr>
              <w:t xml:space="preserve">API Gateway</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1M calls/mo</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Routes frontend requests to Lambda functions across all four pillars</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All pillars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CloudFront + Amplify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 available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Hosts and serves the React dashboard globally with low latency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UI layer</w:t>
            </w:r>
          </w:p>
        </w:tc>
      </w:tr>
    </w:tbl>
    <w:p>
      <w:pPr>
        <w:spacing w:after="280"/>
      </w:pPr>
    </w:p>
    <w:p>
      <w:pPr>
        <w:spacing w:after="400"/>
      </w:pPr>
      <w:r>
        <w:rPr>
          <w:rFonts w:ascii="Arial" w:cs="Arial" w:eastAsia="Arial" w:hAnsi="Arial"/>
          <w:b/>
          <w:bCs/>
          <w:sz w:val="22"/>
          <w:szCs w:val="22"/>
        </w:rPr>
        <w:t xml:space="preserve">At demo scale, the only guaranteed cost outside free tier is TinEye at $200/month. Everything else stays within AWS free tier limits for the duration of the sprint and early demo period.</w:t>
      </w:r>
    </w:p>
    <w:p>
      <w:pPr>
        <w:pStyle w:val="Heading2"/>
      </w:pPr>
      <w:r>
        <w:rPr>
          <w:rFonts w:ascii="Arial" w:cs="Arial" w:eastAsia="Arial" w:hAnsi="Arial"/>
          <w:b/>
          <w:bCs/>
          <w:color w:val="7B61FF"/>
          <w:sz w:val="26"/>
          <w:szCs w:val="26"/>
        </w:rPr>
        <w:t xml:space="preserve">How It Connects</w:t>
      </w:r>
    </w:p>
    <w:p>
      <w:pPr>
        <w:spacing w:after="160"/>
      </w:pPr>
      <w:r>
        <w:rPr>
          <w:rFonts w:ascii="Arial" w:cs="Arial" w:eastAsia="Arial" w:hAnsi="Arial"/>
          <w:sz w:val="22"/>
          <w:szCs w:val="22"/>
        </w:rPr>
        <w:t xml:space="preserve">The demo flow maps to the infrastructure in a straight line:</w:t>
      </w:r>
    </w:p>
    <w:p>
      <w:pPr>
        <w:pStyle w:val="ListParagraph"/>
        <w:numPr>
          <w:ilvl w:val="0"/>
          <w:numId w:val="3"/>
        </w:numPr>
      </w:pPr>
      <w:r>
        <w:rPr>
          <w:rFonts w:ascii="Arial" w:cs="Arial" w:eastAsia="Arial" w:hAnsi="Arial"/>
          <w:sz w:val="22"/>
          <w:szCs w:val="22"/>
        </w:rPr>
        <w:t xml:space="preserve">Creator logs in via Cognito and lands on the React dashboard (Amplify/CloudFront)</w:t>
      </w:r>
    </w:p>
    <w:p>
      <w:pPr>
        <w:pStyle w:val="ListParagraph"/>
        <w:numPr>
          <w:ilvl w:val="0"/>
          <w:numId w:val="3"/>
        </w:numPr>
      </w:pPr>
      <w:r>
        <w:rPr>
          <w:rFonts w:ascii="Arial" w:cs="Arial" w:eastAsia="Arial" w:hAnsi="Arial"/>
          <w:sz w:val="22"/>
          <w:szCs w:val="22"/>
        </w:rPr>
        <w:t xml:space="preserve">Creator uploads asset to S3. C2PA SDK signs the asset and writes provenance record</w:t>
      </w:r>
    </w:p>
    <w:p>
      <w:pPr>
        <w:pStyle w:val="ListParagraph"/>
        <w:numPr>
          <w:ilvl w:val="0"/>
          <w:numId w:val="3"/>
        </w:numPr>
      </w:pPr>
      <w:r>
        <w:rPr>
          <w:rFonts w:ascii="Arial" w:cs="Arial" w:eastAsia="Arial" w:hAnsi="Arial"/>
          <w:sz w:val="22"/>
          <w:szCs w:val="22"/>
        </w:rPr>
        <w:t xml:space="preserve">Lambda triggers Rekognition face match and TinEye web discovery</w:t>
      </w:r>
    </w:p>
    <w:p>
      <w:pPr>
        <w:pStyle w:val="ListParagraph"/>
        <w:numPr>
          <w:ilvl w:val="0"/>
          <w:numId w:val="3"/>
        </w:numPr>
      </w:pPr>
      <w:r>
        <w:rPr>
          <w:rFonts w:ascii="Arial" w:cs="Arial" w:eastAsia="Arial" w:hAnsi="Arial"/>
          <w:sz w:val="22"/>
          <w:szCs w:val="22"/>
        </w:rPr>
        <w:t xml:space="preserve">Matches are stored in DynamoDB and surfaced as alerts in the dashboard</w:t>
      </w:r>
    </w:p>
    <w:p>
      <w:pPr>
        <w:pStyle w:val="ListParagraph"/>
        <w:numPr>
          <w:ilvl w:val="0"/>
          <w:numId w:val="3"/>
        </w:numPr>
      </w:pPr>
      <w:r>
        <w:rPr>
          <w:rFonts w:ascii="Arial" w:cs="Arial" w:eastAsia="Arial" w:hAnsi="Arial"/>
          <w:sz w:val="22"/>
          <w:szCs w:val="22"/>
        </w:rPr>
        <w:t xml:space="preserve">Creator opens incident, reviews evidence, and routes enforcement via pre-filled platform form</w:t>
      </w:r>
    </w:p>
    <w:p>
      <w:pPr>
        <w:pStyle w:val="ListParagraph"/>
        <w:numPr>
          <w:ilvl w:val="0"/>
          <w:numId w:val="3"/>
        </w:numPr>
        <w:spacing w:after="400"/>
      </w:pPr>
      <w:r>
        <w:rPr>
          <w:rFonts w:ascii="Arial" w:cs="Arial" w:eastAsia="Arial" w:hAnsi="Arial"/>
          <w:sz w:val="22"/>
          <w:szCs w:val="22"/>
        </w:rPr>
        <w:t xml:space="preserve">Creator chooses to enforce or monetize. Stripe Connect handles licensing payment if approved</w:t>
      </w:r>
    </w:p>
    <w:p>
      <w:pPr>
        <w:pStyle w:val="Heading2"/>
      </w:pPr>
      <w:r>
        <w:rPr>
          <w:rFonts w:ascii="Arial" w:cs="Arial" w:eastAsia="Arial" w:hAnsi="Arial"/>
          <w:b/>
          <w:bCs/>
          <w:color w:val="7B61FF"/>
          <w:sz w:val="26"/>
          <w:szCs w:val="26"/>
        </w:rPr>
        <w:t xml:space="preserve">Out of Scope for This Sprint</w:t>
      </w:r>
    </w:p>
    <w:p>
      <w:pPr>
        <w:spacing w:after="160"/>
      </w:pPr>
      <w:r>
        <w:rPr>
          <w:rFonts w:ascii="Arial" w:cs="Arial" w:eastAsia="Arial" w:hAnsi="Arial"/>
          <w:sz w:val="22"/>
          <w:szCs w:val="22"/>
        </w:rPr>
        <w:t xml:space="preserve">These are real product requirements that belong to post-funding buildout. They are not needed to run a demo.</w:t>
      </w:r>
    </w:p>
    <w:p>
      <w:pPr>
        <w:pStyle w:val="ListParagraph"/>
        <w:numPr>
          <w:ilvl w:val="0"/>
          <w:numId w:val="2"/>
        </w:numPr>
      </w:pPr>
      <w:r>
        <w:rPr>
          <w:rFonts w:ascii="Arial" w:cs="Arial" w:eastAsia="Arial" w:hAnsi="Arial"/>
          <w:sz w:val="22"/>
          <w:szCs w:val="22"/>
        </w:rPr>
        <w:t xml:space="preserve">Internet-scale crawling (Loti processes 120-140M images daily; we do not need this to demo)</w:t>
      </w:r>
    </w:p>
    <w:p>
      <w:pPr>
        <w:pStyle w:val="ListParagraph"/>
        <w:numPr>
          <w:ilvl w:val="0"/>
          <w:numId w:val="2"/>
        </w:numPr>
      </w:pPr>
      <w:r>
        <w:rPr>
          <w:rFonts w:ascii="Arial" w:cs="Arial" w:eastAsia="Arial" w:hAnsi="Arial"/>
          <w:sz w:val="22"/>
          <w:szCs w:val="22"/>
        </w:rPr>
        <w:t xml:space="preserve">Voice detection at scale (no competitor has solved this; scope voice as registration only for now)</w:t>
      </w:r>
    </w:p>
    <w:p>
      <w:pPr>
        <w:pStyle w:val="ListParagraph"/>
        <w:numPr>
          <w:ilvl w:val="0"/>
          <w:numId w:val="2"/>
        </w:numPr>
      </w:pPr>
      <w:r>
        <w:rPr>
          <w:rFonts w:ascii="Arial" w:cs="Arial" w:eastAsia="Arial" w:hAnsi="Arial"/>
          <w:sz w:val="22"/>
          <w:szCs w:val="22"/>
        </w:rPr>
        <w:t xml:space="preserve">Enterprise security and compliance infrastructure</w:t>
      </w:r>
    </w:p>
    <w:p>
      <w:pPr>
        <w:pStyle w:val="ListParagraph"/>
        <w:numPr>
          <w:ilvl w:val="0"/>
          <w:numId w:val="2"/>
        </w:numPr>
      </w:pPr>
      <w:r>
        <w:rPr>
          <w:rFonts w:ascii="Arial" w:cs="Arial" w:eastAsia="Arial" w:hAnsi="Arial"/>
          <w:sz w:val="22"/>
          <w:szCs w:val="22"/>
        </w:rPr>
        <w:t xml:space="preserve">Full marketplace with multi-party licensing and royalty automation</w:t>
      </w:r>
    </w:p>
    <w:p>
      <w:pPr>
        <w:pStyle w:val="ListParagraph"/>
        <w:numPr>
          <w:ilvl w:val="0"/>
          <w:numId w:val="2"/>
        </w:numPr>
        <w:spacing w:after="400"/>
      </w:pPr>
      <w:r>
        <w:rPr>
          <w:rFonts w:ascii="Arial" w:cs="Arial" w:eastAsia="Arial" w:hAnsi="Arial"/>
          <w:sz w:val="22"/>
          <w:szCs w:val="22"/>
        </w:rPr>
        <w:t xml:space="preserve">Own face embedding pipeline (build toward ArcFace/Weaviate post-funding; use Rekognition for now)</w:t>
      </w:r>
    </w:p>
    <w:p>
      <w:pPr>
        <w:pStyle w:val="Heading2"/>
      </w:pPr>
      <w:r>
        <w:rPr>
          <w:rFonts w:ascii="Arial" w:cs="Arial" w:eastAsia="Arial" w:hAnsi="Arial"/>
          <w:b/>
          <w:bCs/>
          <w:color w:val="7B61FF"/>
          <w:sz w:val="26"/>
          <w:szCs w:val="26"/>
        </w:rPr>
        <w:t xml:space="preserve">Estimated Beta Costs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Tool / Service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860"/>
            <w:tcBorders>
              <w:top w:val="single" w:color="DDDDDD" w:sz="1"/>
              <w:left w:val="single" w:color="DDDDDD" w:sz="1"/>
              <w:bottom w:val="single" w:color="DDDDDD" w:sz="1"/>
              <w:right w:val="single" w:color="DDDDDD"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C2PA SDK</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Open source</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Rekognition</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5,000 images/mo, sufficient at beta volume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S3</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 GB, more than enough for controlled demo</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Lambda</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1M requests/mo</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DynamoDB</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25 GB storage</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Cognito</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50,000 MAUs</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API Gateway</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1M calls/mo</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AWS Amplify / CloudFront</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 tier</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Frontend hosting</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000000"/>
                <w:sz w:val="20"/>
                <w:szCs w:val="20"/>
              </w:rPr>
              <w:t xml:space="preserve">TinEye API</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bCs/>
                <w:color w:val="AA0000"/>
                <w:sz w:val="20"/>
                <w:szCs w:val="20"/>
              </w:rPr>
              <w:t xml:space="preserve">$200/mo</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5,000 searches. Only confirmed cost outside free tier.</w:t>
            </w:r>
          </w:p>
        </w:tc>
      </w:tr>
      <w:tr>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Stripe Connect</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Pay-as-you-go</w:t>
            </w:r>
          </w:p>
        </w:tc>
        <w:tc>
          <w:tcPr>
            <w:tcW w:type="dxa" w:w="3120"/>
            <w:tcBorders>
              <w:top w:val="single" w:color="DDDDDD" w:sz="1"/>
              <w:left w:val="single" w:color="DDDDDD" w:sz="1"/>
              <w:bottom w:val="single" w:color="DDDDDD" w:sz="1"/>
              <w:right w:val="single" w:color="DDDDDD" w:sz="1"/>
            </w:tcBorders>
            <w:shd w:fill="F9F9F9"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Negligible at beta volume</w:t>
            </w:r>
          </w:p>
        </w:tc>
      </w:tr>
      <w:tr>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Platform enforcement routing (YouTube, Instagram, TikTok, X)</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Free</w:t>
            </w:r>
          </w:p>
        </w:tc>
        <w:tc>
          <w:tcPr>
            <w:tcW w:type="dxa" w:w="31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r>
              <w:rPr>
                <w:rFonts w:ascii="Arial" w:cs="Arial" w:eastAsia="Arial" w:hAnsi="Arial"/>
                <w:b w:val="false"/>
                <w:bCs w:val="false"/>
                <w:color w:val="000000"/>
                <w:sz w:val="20"/>
                <w:szCs w:val="20"/>
              </w:rPr>
              <w:t xml:space="preserve">No API cost, entry points documented and ready</w:t>
            </w:r>
          </w:p>
        </w:tc>
      </w:tr>
    </w:tbl>
    <w:p>
      <w:pPr>
        <w:spacing w:after="400"/>
      </w:pPr>
    </w:p>
    <w:p>
      <w:pPr>
        <w:pBdr>
          <w:top w:val="single" w:color="7B61FF" w:sz="4" w:space="1"/>
        </w:pBdr>
        <w:spacing w:before="200" w:after="160"/>
      </w:pPr>
    </w:p>
    <w:p>
      <w:pPr>
        <w:spacing w:after="200"/>
      </w:pPr>
      <w:r>
        <w:rPr>
          <w:rFonts w:ascii="Arial" w:cs="Arial" w:eastAsia="Arial" w:hAnsi="Arial"/>
          <w:i/>
          <w:iCs/>
          <w:sz w:val="22"/>
          <w:szCs w:val="22"/>
        </w:rPr>
        <w:t xml:space="preserve">Everything in this plan comes directly from Alae's own assessment. The tools are identified. The infrastructure is mapped. The 30 days are accountable. This is the build.</w:t>
      </w:r>
    </w:p>
    <w:p>
      <w:pPr>
        <w:spacing w:after="40"/>
      </w:pPr>
      <w:r>
        <w:rPr>
          <w:rFonts w:ascii="Arial" w:cs="Arial" w:eastAsia="Arial" w:hAnsi="Arial"/>
          <w:b/>
          <w:bCs/>
          <w:sz w:val="22"/>
          <w:szCs w:val="22"/>
        </w:rPr>
        <w:t xml:space="preserve">Nyree</w:t>
      </w:r>
    </w:p>
    <w:p>
      <w:r>
        <w:rPr>
          <w:rFonts w:ascii="Arial" w:cs="Arial" w:eastAsia="Arial" w:hAnsi="Arial"/>
          <w:color w:val="666666"/>
          <w:sz w:val="20"/>
          <w:szCs w:val="20"/>
        </w:rPr>
        <w:t xml:space="preserve">Founder &amp; CEO, Whair, Inc.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7B61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2026-03-10T14:26:00.056Z</dcterms:created>
  <dcterms:modified xsi:type="dcterms:W3CDTF">2026-03-10T14:26:00.058Z</dcterms:modified>
</cp:coreProperties>
</file>

<file path=docProps/custom.xml><?xml version="1.0" encoding="utf-8"?>
<Properties xmlns="http://schemas.openxmlformats.org/officeDocument/2006/custom-properties" xmlns:vt="http://schemas.openxmlformats.org/officeDocument/2006/docPropsVTypes"/>
</file>