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E5FBF"/>
          <w:sz w:val="44"/>
        </w:rPr>
        <w:t>AUTOMATIZACIÓN GRÁFICAS DE ADMISIÓN IPG 2027</w:t>
      </w:r>
    </w:p>
    <w:p>
      <w:r>
        <w:rPr>
          <w:b w:val="0"/>
          <w:color w:val="555555"/>
          <w:sz w:val="24"/>
        </w:rPr>
        <w:t>Generación estandarizada de Post e Historia por carrera — análisis del proceso manual y manual de operación del pipeline</w:t>
      </w:r>
    </w:p>
    <w:p>
      <w:r>
        <w:rPr>
          <w:b w:val="0"/>
          <w:color w:val="555555"/>
          <w:sz w:val="20"/>
        </w:rPr>
        <w:t>Proceso de diseño gráfico (Post-IPG 2027-Plantilla.svg / Story-IPG 2027-Plantilla.svg) rediseñado en seis módulos de automatización</w:t>
      </w:r>
    </w:p>
    <w:p>
      <w:r>
        <w:rPr>
          <w:b w:val="0"/>
        </w:rPr>
      </w:r>
    </w:p>
    <w:p>
      <w:r>
        <w:rPr>
          <w:b/>
        </w:rPr>
        <w:t>Instituto Profesional IPG  ·  Admisión / Marketing</w:t>
      </w:r>
    </w:p>
    <w:p>
      <w:r>
        <w:rPr>
          <w:b w:val="0"/>
          <w:color w:val="555555"/>
          <w:sz w:val="18"/>
        </w:rPr>
        <w:t>Repositorio: C:\Users\IPG\Documents\Arieh\Diseño&amp;Tenc-2027\IPG-2027\Meta IPG-2027</w:t>
      </w:r>
    </w:p>
    <w:p>
      <w:r>
        <w:rPr>
          <w:b/>
          <w:color w:val="1E5FBF"/>
        </w:rPr>
        <w:t>Pipeline en versión 0.8  ·  Estado al 21 de septiembre de 2026  ·  Campaña completa y cerrada: 4 escuelas, 43 carreras, 83 piezas</w:t>
      </w:r>
    </w:p>
    <w:p>
      <w:r>
        <w:rPr>
          <w:b w:val="0"/>
          <w:color w:val="555555"/>
          <w:sz w:val="18"/>
        </w:rPr>
        <w:t>Este documento cubre ÚNICAMENTE la campaña de Admisión IPG 2027 y el pipeline que la produjo. La versión genérica del motor, construida después para poder reutilizarlo con otras marcas, es un proyecto aparte y tiene su propia documentación en la carpeta hermana Motor-Graficas (README.md). Los dos no se mezclan: los scripts de esta carpeta no cambiaron.</w:t>
      </w:r>
    </w:p>
    <w:p>
      <w:pPr>
        <w:pStyle w:val="Heading1"/>
      </w:pPr>
      <w:r>
        <w:t>1. Introducción y estado del proyecto</w:t>
      </w:r>
    </w:p>
    <w:p>
      <w:r>
        <w:rPr>
          <w:b w:val="0"/>
        </w:rPr>
        <w:t>La generación de gráficas de admisión (Post cuadrado 1080×1080 e Historia vertical 1080×1920, una pieza por carrera + sede) era un proceso de Diseño Gráfico ejecutado pieza por pieza en Illustrator, repetido para cada combinación de carrera y sede de la campaña.</w:t>
      </w:r>
    </w:p>
    <w:p>
      <w:r>
        <w:rPr>
          <w:b w:val="0"/>
        </w:rPr>
        <w:t>Este documento está escrito para que cualquier persona —o cualquier máquina— pueda reproducir el resultado sin haber participado en las sesiones donde se construyó el pipeline. La Parte 1 analiza el proceso manual y deja las reglas por escrito; la Parte 2 es el manual de operación.</w:t>
      </w:r>
    </w:p>
    <w:p>
      <w:r>
        <w:rPr>
          <w:b/>
          <w:color w:val="1E5FBF"/>
        </w:rPr>
        <w:t>La campaña está cerrada</w:t>
      </w:r>
    </w:p>
    <w:tbl>
      <w:tblPr>
        <w:tblW w:type="auto" w:w="0"/>
        <w:jc w:val="center"/>
        <w:tblLook w:firstColumn="1" w:firstRow="1" w:lastColumn="0" w:lastRow="0" w:noHBand="0" w:noVBand="1" w:val="04A0"/>
      </w:tblPr>
      <w:tblGrid>
        <w:gridCol w:w="1949"/>
        <w:gridCol w:w="1949"/>
        <w:gridCol w:w="1949"/>
        <w:gridCol w:w="1949"/>
        <w:gridCol w:w="1949"/>
      </w:tblGrid>
      <w:tr>
        <w:tc>
          <w:tcPr>
            <w:tcW w:type="dxa" w:w="317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Escuela</w:t>
            </w:r>
          </w:p>
        </w:tc>
        <w:tc>
          <w:tcPr>
            <w:tcW w:type="dxa" w:w="113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Carreras</w:t>
            </w:r>
          </w:p>
        </w:tc>
        <w:tc>
          <w:tcPr>
            <w:tcW w:type="dxa" w:w="1020"/>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Piezas</w:t>
            </w:r>
          </w:p>
        </w:tc>
        <w:tc>
          <w:tcPr>
            <w:tcW w:type="dxa" w:w="204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Archivos</w:t>
            </w:r>
          </w:p>
        </w:tc>
        <w:tc>
          <w:tcPr>
            <w:tcW w:type="dxa" w:w="204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Salud</w:t>
            </w:r>
          </w:p>
        </w:tc>
        <w:tc>
          <w:tcPr>
            <w:tcW w:type="dxa" w:w="1134"/>
            <w:tcBorders>
              <w:top w:val="single" w:sz="4" w:color="BFBFBF"/>
              <w:left w:val="single" w:sz="4" w:color="BFBFBF"/>
              <w:bottom w:val="single" w:sz="4" w:color="BFBFBF"/>
              <w:right w:val="single" w:sz="4" w:color="BFBFBF"/>
            </w:tcBorders>
          </w:tcPr>
          <w:p>
            <w:pPr>
              <w:spacing w:after="40" w:line="240" w:lineRule="auto"/>
            </w:pPr>
            <w:r/>
            <w:r>
              <w:rPr>
                <w:sz w:val="18"/>
              </w:rPr>
              <w:t>6</w:t>
            </w:r>
          </w:p>
        </w:tc>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14</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56</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Cerrada y verificada</w:t>
            </w:r>
          </w:p>
        </w:tc>
      </w:tr>
      <w:tr>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Educación y Desarrollo Social</w:t>
            </w:r>
          </w:p>
        </w:tc>
        <w:tc>
          <w:tcPr>
            <w:tcW w:type="dxa" w:w="1134"/>
            <w:tcBorders>
              <w:top w:val="single" w:sz="4" w:color="BFBFBF"/>
              <w:left w:val="single" w:sz="4" w:color="BFBFBF"/>
              <w:bottom w:val="single" w:sz="4" w:color="BFBFBF"/>
              <w:right w:val="single" w:sz="4" w:color="BFBFBF"/>
            </w:tcBorders>
          </w:tcPr>
          <w:p>
            <w:pPr>
              <w:spacing w:after="40" w:line="240" w:lineRule="auto"/>
            </w:pPr>
            <w:r/>
            <w:r>
              <w:rPr>
                <w:sz w:val="18"/>
              </w:rPr>
              <w:t>6</w:t>
            </w:r>
          </w:p>
        </w:tc>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23</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92</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Cerrada y verificada</w:t>
            </w:r>
          </w:p>
        </w:tc>
      </w:tr>
      <w:tr>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Gestión, Negocios y Marítima</w:t>
            </w:r>
          </w:p>
        </w:tc>
        <w:tc>
          <w:tcPr>
            <w:tcW w:type="dxa" w:w="1134"/>
            <w:tcBorders>
              <w:top w:val="single" w:sz="4" w:color="BFBFBF"/>
              <w:left w:val="single" w:sz="4" w:color="BFBFBF"/>
              <w:bottom w:val="single" w:sz="4" w:color="BFBFBF"/>
              <w:right w:val="single" w:sz="4" w:color="BFBFBF"/>
            </w:tcBorders>
          </w:tcPr>
          <w:p>
            <w:pPr>
              <w:spacing w:after="40" w:line="240" w:lineRule="auto"/>
            </w:pPr>
            <w:r/>
            <w:r>
              <w:rPr>
                <w:sz w:val="18"/>
              </w:rPr>
              <w:t>13</w:t>
            </w:r>
          </w:p>
        </w:tc>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19</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76</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Cerrada y verificada</w:t>
            </w:r>
          </w:p>
        </w:tc>
      </w:tr>
      <w:tr>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Ingeniería y Tecnología</w:t>
            </w:r>
          </w:p>
        </w:tc>
        <w:tc>
          <w:tcPr>
            <w:tcW w:type="dxa" w:w="1134"/>
            <w:tcBorders>
              <w:top w:val="single" w:sz="4" w:color="BFBFBF"/>
              <w:left w:val="single" w:sz="4" w:color="BFBFBF"/>
              <w:bottom w:val="single" w:sz="4" w:color="BFBFBF"/>
              <w:right w:val="single" w:sz="4" w:color="BFBFBF"/>
            </w:tcBorders>
          </w:tcPr>
          <w:p>
            <w:pPr>
              <w:spacing w:after="40" w:line="240" w:lineRule="auto"/>
            </w:pPr>
            <w:r/>
            <w:r>
              <w:rPr>
                <w:sz w:val="18"/>
              </w:rPr>
              <w:t>18</w:t>
            </w:r>
          </w:p>
        </w:tc>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27</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108</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Cerrada y verificada</w:t>
            </w:r>
          </w:p>
        </w:tc>
      </w:tr>
      <w:tr>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Total</w:t>
            </w:r>
          </w:p>
        </w:tc>
        <w:tc>
          <w:tcPr>
            <w:tcW w:type="dxa" w:w="1134"/>
            <w:tcBorders>
              <w:top w:val="single" w:sz="4" w:color="BFBFBF"/>
              <w:left w:val="single" w:sz="4" w:color="BFBFBF"/>
              <w:bottom w:val="single" w:sz="4" w:color="BFBFBF"/>
              <w:right w:val="single" w:sz="4" w:color="BFBFBF"/>
            </w:tcBorders>
          </w:tcPr>
          <w:p>
            <w:pPr>
              <w:spacing w:after="40" w:line="240" w:lineRule="auto"/>
            </w:pPr>
            <w:r/>
            <w:r>
              <w:rPr>
                <w:sz w:val="18"/>
              </w:rPr>
              <w:t>43</w:t>
            </w:r>
          </w:p>
        </w:tc>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83</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332 (166 PNG + 166 SVG)</w:t>
            </w:r>
          </w:p>
        </w:tc>
        <w:tc>
          <w:tcPr>
            <w:tcW w:type="dxa" w:w="2041"/>
            <w:tcBorders>
              <w:top w:val="single" w:sz="4" w:color="BFBFBF"/>
              <w:left w:val="single" w:sz="4" w:color="BFBFBF"/>
              <w:bottom w:val="single" w:sz="4" w:color="BFBFBF"/>
              <w:right w:val="single" w:sz="4" w:color="BFBFBF"/>
            </w:tcBorders>
          </w:tcPr>
          <w:p>
            <w:pPr>
              <w:spacing w:after="40" w:line="240" w:lineRule="auto"/>
            </w:pPr>
            <w:r/>
            <w:r>
              <w:rPr>
                <w:sz w:val="18"/>
              </w:rPr>
              <w:t>—</w:t>
            </w:r>
          </w:p>
        </w:tc>
      </w:tr>
    </w:tbl>
    <w:p>
      <w:pPr>
        <w:spacing w:after="80"/>
      </w:pPr>
    </w:p>
    <w:p>
      <w:r>
        <w:rPr>
          <w:b/>
        </w:rPr>
        <w:t>Cómo leer este documento según para qué se viene</w:t>
      </w:r>
    </w:p>
    <w:tbl>
      <w:tblPr>
        <w:tblW w:type="auto" w:w="0"/>
        <w:jc w:val="center"/>
        <w:tblLook w:firstColumn="1" w:firstRow="1" w:lastColumn="0" w:lastRow="0" w:noHBand="0" w:noVBand="1" w:val="04A0"/>
      </w:tblPr>
      <w:tblGrid>
        <w:gridCol w:w="4873"/>
        <w:gridCol w:w="4873"/>
      </w:tblGrid>
      <w:tr>
        <w:tc>
          <w:tcPr>
            <w:tcW w:type="dxa" w:w="4649"/>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Si lo que quiere es…</w:t>
            </w:r>
          </w:p>
        </w:tc>
        <w:tc>
          <w:tcPr>
            <w:tcW w:type="dxa" w:w="453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Vaya a</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Generar una escuela nueva de principio a fin</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§5 — el procedimiento completo, comando por comando</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Elegir fotografías que sirvan</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§4.6 — la regla del 0,30, que es la que más cuesta aprender</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Entender por qué el encuadre es como es</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§4.3 y §4.4 — la fórmula y el solver</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Montar el entorno en otra máquina</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§5.0 y §3.9 — dependencias y rutas que hay que cambiar</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Saber qué hace cada script</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§3.9 — inventario completo</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Revisar qué se decidió y por qué</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§2.3 — las reglas de diseño y negocio</w:t>
            </w:r>
          </w:p>
        </w:tc>
      </w:tr>
      <w:tr>
        <w:tc>
          <w:tcPr>
            <w:tcW w:type="dxa" w:w="4649"/>
            <w:tcBorders>
              <w:top w:val="single" w:sz="4" w:color="BFBFBF"/>
              <w:left w:val="single" w:sz="4" w:color="BFBFBF"/>
              <w:bottom w:val="single" w:sz="4" w:color="BFBFBF"/>
              <w:right w:val="single" w:sz="4" w:color="BFBFBF"/>
            </w:tcBorders>
          </w:tcPr>
          <w:p>
            <w:pPr>
              <w:spacing w:after="40" w:line="240" w:lineRule="auto"/>
            </w:pPr>
            <w:r/>
            <w:r>
              <w:rPr>
                <w:sz w:val="18"/>
              </w:rPr>
              <w:t>No repetir un error conocido</w:t>
            </w:r>
          </w:p>
        </w:tc>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§6.1 — lo que se aprendió</w:t>
            </w:r>
          </w:p>
        </w:tc>
      </w:tr>
    </w:tbl>
    <w:p>
      <w:pPr>
        <w:spacing w:after="80"/>
      </w:pPr>
    </w:p>
    <w:p>
      <w:r>
        <w:rPr>
          <w:b/>
        </w:rPr>
        <w:t>Qué cambió respecto de la versión 0.6</w:t>
      </w:r>
    </w:p>
    <w:p>
      <w:r>
        <w:rPr>
          <w:b w:val="0"/>
        </w:rPr>
        <w:t>La v0.6 documentaba una sola escuela cerrada. La v0.7 cierra las cuatro y agrega lo que se aprendió al escalar de 14 a 83 piezas:</w:t>
      </w:r>
    </w:p>
    <w:p>
      <w:pPr>
        <w:pStyle w:val="ListBullet"/>
        <w:spacing w:after="60"/>
      </w:pPr>
      <w:r>
        <w:t>La regla del 0,30 (RN-28): el rostro no puede ocupar más de ~30 % del alto de la fotografía. Seis fotos a lo largo del proyecto hubo que reemplazarlas por esto, y es una condición de selección, no de calibración.</w:t>
      </w:r>
    </w:p>
    <w:p>
      <w:pPr>
        <w:pStyle w:val="ListBullet"/>
        <w:spacing w:after="60"/>
      </w:pPr>
      <w:r>
        <w:t xml:space="preserve">La regla de redondeo quedó resuelta (RN-29): a la decena.</w:t>
      </w:r>
    </w:p>
    <w:p>
      <w:pPr>
        <w:pStyle w:val="ListBullet"/>
        <w:spacing w:after="60"/>
      </w:pPr>
      <w:r>
        <w:t>Tres scripts nuevos que aparecieron al escalar: asignación automática de rutas de foto, recogida de descargas en lote y hoja de contacto.</w:t>
      </w:r>
    </w:p>
    <w:p>
      <w:pPr>
        <w:pStyle w:val="ListBullet"/>
        <w:spacing w:after="60"/>
      </w:pPr>
      <w:r>
        <w:t>Se corrigió un bug del solver que escribía siempre el mismo nombre de salida y hacía que resolver una escuela pisara los encuadres de otra.</w:t>
      </w:r>
    </w:p>
    <w:p>
      <w:r>
        <w:rPr>
          <w:b/>
        </w:rPr>
        <w:t>Estado de los módulos</w:t>
      </w:r>
    </w:p>
    <w:p>
      <w:r>
        <w:rPr>
          <w:b w:val="0"/>
        </w:rPr>
        <w:t>Los Módulos 2 (texto), 4 (fotografía), 5 (renderizado) y 6 (lote) están construidos y verificados sobre las cuatro escuelas. El Módulo 3 (selección de fotografía) sigue siendo un procedimiento asistido: la búsqueda está sistematizada pero el criterio es humano. El Módulo 1 (extracción automática del Excel) sigue pendiente; el JSON de escuela se arma a mano, una vez por escuela.</w:t>
      </w:r>
    </w:p>
    <w:p>
      <w:pPr>
        <w:pStyle w:val="Heading1"/>
      </w:pPr>
      <w:r>
        <w:t>2. Parte 1 — Análisis del proceso manual</w:t>
      </w:r>
    </w:p>
    <w:p>
      <w:pPr>
        <w:pStyle w:val="Heading2"/>
      </w:pPr>
      <w:r>
        <w:t>2.1 Pasos que ejecutaba Diseño Gráfico (P1–P9)</w:t>
      </w:r>
    </w:p>
    <w:tbl>
      <w:tblPr>
        <w:tblW w:type="auto" w:w="0"/>
        <w:jc w:val="center"/>
        <w:tblLook w:firstColumn="1" w:firstRow="1" w:lastColumn="0" w:lastRow="0" w:noHBand="0" w:noVBand="1" w:val="04A0"/>
      </w:tblPr>
      <w:tblGrid>
        <w:gridCol w:w="2436"/>
        <w:gridCol w:w="2436"/>
        <w:gridCol w:w="2436"/>
        <w:gridCol w:w="2436"/>
      </w:tblGrid>
      <w:tr>
        <w:tc>
          <w:tcPr>
            <w:tcW w:type="dxa" w:w="567"/>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w:t>
            </w:r>
          </w:p>
        </w:tc>
        <w:tc>
          <w:tcPr>
            <w:tcW w:type="dxa" w:w="328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Proceso</w:t>
            </w:r>
          </w:p>
        </w:tc>
        <w:tc>
          <w:tcPr>
            <w:tcW w:type="dxa" w:w="249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Naturaleza original</w:t>
            </w:r>
          </w:p>
        </w:tc>
        <w:tc>
          <w:tcPr>
            <w:tcW w:type="dxa" w:w="283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P1</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Duplicar la plantilla Illustrator para la carrera.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un archivo por pieza</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Eliminado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P2</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Escribir a mano prefijo, nombre de carrera y badges.</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sensible a errores de tipeo</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P3</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Ajustar el subrayado y cortar el título a ojo si no cabe.</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a prueba y error</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P4</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Calcular y escribir el % de beca y la cuota mensual.</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P5</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Escribir la sede y ajustar la pastilla.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P6</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Buscar, evaluar y licenciar una fotografía.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criterio visual sin regla escrita</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Semi-automatizado (asistido)</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P7</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Recortar y posicionar la fotografía evitando logo y texto.</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a prueba y error en Illustrator</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 — resuelto por solver (§4.4)</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P8</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Exportar cada pieza a PNG.</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 (Inkscape)</w:t>
            </w:r>
          </w:p>
        </w:tc>
      </w:tr>
      <w:tr>
        <w:tc>
          <w:tcPr>
            <w:tcW w:type="dxa" w:w="567"/>
            <w:tcBorders>
              <w:top w:val="single" w:sz="4" w:color="BFBFBF"/>
              <w:left w:val="single" w:sz="4" w:color="BFBFBF"/>
              <w:bottom w:val="single" w:sz="4" w:color="BFBFBF"/>
              <w:right w:val="single" w:sz="4" w:color="BFBFBF"/>
            </w:tcBorders>
          </w:tcPr>
          <w:p>
            <w:pPr>
              <w:spacing w:after="40" w:line="240" w:lineRule="auto"/>
            </w:pPr>
            <w:r/>
            <w:r>
              <w:rPr>
                <w:sz w:val="18"/>
              </w:rPr>
              <w:t>P9</w:t>
            </w:r>
          </w:p>
        </w:tc>
        <w:tc>
          <w:tcPr>
            <w:tcW w:type="dxa" w:w="3288"/>
            <w:tcBorders>
              <w:top w:val="single" w:sz="4" w:color="BFBFBF"/>
              <w:left w:val="single" w:sz="4" w:color="BFBFBF"/>
              <w:bottom w:val="single" w:sz="4" w:color="BFBFBF"/>
              <w:right w:val="single" w:sz="4" w:color="BFBFBF"/>
            </w:tcBorders>
          </w:tcPr>
          <w:p>
            <w:pPr>
              <w:spacing w:after="40" w:line="240" w:lineRule="auto"/>
            </w:pPr>
            <w:r/>
            <w:r>
              <w:rPr>
                <w:sz w:val="18"/>
              </w:rPr>
              <w:t>Repetir P1–P8 por cada carrera + sede.</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Manual, se repite desde cero cada campaña</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Automatizado por escuela (Módulo 6)</w:t>
            </w:r>
          </w:p>
        </w:tc>
      </w:tr>
    </w:tbl>
    <w:p>
      <w:pPr>
        <w:spacing w:after="80"/>
      </w:pPr>
    </w:p>
    <w:p>
      <w:pPr>
        <w:pStyle w:val="Heading2"/>
      </w:pPr>
      <w:r>
        <w:t>2.2 Requerimientos funcionales (RF-01 a RF-30)</w:t>
      </w:r>
    </w:p>
    <w:tbl>
      <w:tblPr>
        <w:tblW w:type="auto" w:w="0"/>
        <w:jc w:val="center"/>
        <w:tblLook w:firstColumn="1" w:firstRow="1" w:lastColumn="0" w:lastRow="0" w:noHBand="0" w:noVBand="1" w:val="04A0"/>
      </w:tblPr>
      <w:tblGrid>
        <w:gridCol w:w="3249"/>
        <w:gridCol w:w="3249"/>
        <w:gridCol w:w="3249"/>
      </w:tblGrid>
      <w:tr>
        <w:tc>
          <w:tcPr>
            <w:tcW w:type="dxa" w:w="1020"/>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Código</w:t>
            </w:r>
          </w:p>
        </w:tc>
        <w:tc>
          <w:tcPr>
            <w:tcW w:type="dxa" w:w="589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Requerimiento funcional</w:t>
            </w:r>
          </w:p>
        </w:tc>
        <w:tc>
          <w:tcPr>
            <w:tcW w:type="dxa" w:w="226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Generar el SVG de una carrera a partir de un JSON de datos.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Autoajustar el ancho del subrayado al prefijo.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Autoajustar el tamaño de fuente y cortar el nombre a dos líneas balanceadas si no alcanza.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Quitar y recentrar los badges sobrantes (1 a 3 títulos).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Centrar el monto de la cuota en la pastilla, achicando la fuente si no cabe.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Ajustar el ancho de la pastilla de sede al texto real.</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Incrustar la fotografía a sangre en el SVG (base64), reemplazando la plancha gris de la plantilla.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Reaplicar el degradado inferior para legibilidad del texto.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RF-09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Aplicar un degradado superior propio para legibilidad del logo, sin importar el brillo de la foto.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Punto focal independiente para Post y para Story.</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Sobre-escalar la foto más allá del mínimo que cubre el lienzo, sin perder cobertura.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Expandir el lienzo de la foto a los lados y hacia arriba.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Usar la misma fotografía en Post y Story de una carrera.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Generar el mapa de zonas seguras superpuesto.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 — incluye silueta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Ejecutarse por carrera individual sin depender del lote.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Extraer automáticamente los datos desde el Excel.</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Pendiente — el JSON se arma por escuela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Expandir el lienzo hacia abajo, para subir al sujeto sin agrandarlo cuando va anclado al borde inferior.</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Resolver el encuadre por búsqueda sobre las restricciones de zona segura.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RF-19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Generar una escuela completa en una sola corrida.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Propagar foto y encuadre a todas las sedes de una carrera.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Purgar versiones anteriores y caché obsoleto.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Separar la entrega por escuela, carrera, modalidad y sede.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Medir la posición real del título renderizando la pieza sin foto, en vez de estimarla.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Leer pelo, mentón y centro de la cabeza sobre una grilla ampliada en centésimas.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Emitir el SVG editable junto al PNG cuando se pide.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Regenerar esta documentación desde un script.</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Escribir automáticamente la ruta de foto de cada carrera en el JSON de escuela.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 — 15-09-2026</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Recoger varias descargas seguidas y repartirlas por carrera en orden, sin alternar navegador y consola en cada foto.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 — 15-09-2026</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RF-29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Montar las piezas de una escuela en una hoja de contacto para verificarlas de un vistazo.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 — 15-09-2026</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RF-30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Derivar el nombre del archivo de encuadres del JSON de entrada, para que una escuela no pise a otra.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 — 15-09-2026, corrección de bug</w:t>
            </w:r>
          </w:p>
        </w:tc>
      </w:tr>
    </w:tbl>
    <w:p>
      <w:pPr>
        <w:spacing w:after="80"/>
      </w:pPr>
    </w:p>
    <w:p>
      <w:pPr>
        <w:pStyle w:val="Heading2"/>
      </w:pPr>
      <w:r>
        <w:t>2.3 Reglas de diseño y negocio (RN-01 a RN-31)</w:t>
      </w:r>
    </w:p>
    <w:p>
      <w:r>
        <w:rPr>
          <w:b w:val="0"/>
        </w:rPr>
        <w:t>Son independientes de la implementación: si el pipeline se reescribe en otro lenguaje, estas reglas se mantienen.</w:t>
      </w:r>
    </w:p>
    <w:tbl>
      <w:tblPr>
        <w:tblW w:type="auto" w:w="0"/>
        <w:jc w:val="center"/>
        <w:tblLook w:firstColumn="1" w:firstRow="1" w:lastColumn="0" w:lastRow="0" w:noHBand="0" w:noVBand="1" w:val="04A0"/>
      </w:tblPr>
      <w:tblGrid>
        <w:gridCol w:w="3249"/>
        <w:gridCol w:w="3249"/>
        <w:gridCol w:w="3249"/>
      </w:tblGrid>
      <w:tr>
        <w:tc>
          <w:tcPr>
            <w:tcW w:type="dxa" w:w="1020"/>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Código</w:t>
            </w:r>
          </w:p>
        </w:tc>
        <w:tc>
          <w:tcPr>
            <w:tcW w:type="dxa" w:w="589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Regla</w:t>
            </w:r>
          </w:p>
        </w:tc>
        <w:tc>
          <w:tcPr>
            <w:tcW w:type="dxa" w:w="226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El &lt;text&gt; de las plantillas se reescribe con un único &lt;tspan x="0" y="0"&gt;: se pierde el kerning de Illustrator, el resultado es idéntico a la vista.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El font-size de la clase CSS tiene prioridad sobre el atributo del &lt;text&gt;. Hay que fijarlo con style="font-size:Npx" inline o el cambio se ignora.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 — costó descubrirla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Zona de logo — ningún elemento de la foto puede caer en Post x 20–700 / y 20–185 · Story x 40–720 / y 70–240.</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 — la más estricta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Zona de texto — desde Post y≥440 / Story y≥740 la foto puede quedar cubierta, pero el rostro completo debe quedar sobre esa franja.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Banda de rostros — Post y 200–430 · Story y 270–700.</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Resolución mínima de foto — ancho ≥2160px.</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La foto no debe tener fondo plano en la franja detrás del logo o del texto: debe tener profundidad, nunca fondo de estudio.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Fórmula de encuadre (cover con zoom). La dimensión que gana el max() queda sin holgura.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RN-09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Límite físico — el alto de la cabeza por la escala final no puede superar el hueco entre la zona de logo y la de texto.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Expansión de lienzo — se estira y difumina una tira del borde, nunca se genera contenido con IA. Orden fijo lados → arriba → abajo, y cada fracción sobre el tamaño en ese punto de la cadena.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El punto focal y el zoom son independientes por formato.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Criterio de selección — retrato individual cintura-arriba, ambiente de la carrera desenfocado detrás, sin brazos levantados del lado izquierdo, mirando a cámara.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Las fotos se descargan en la resolución máxima licenciada.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Una gráfica por carrera + sede, agrupando los niveles de una misma disciplina en hasta 3 badges bajo el prefijo del nivel superior — Técnico, Profesional y Plan Continuidad conviven en la misma pieza.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 — ejercitada en Gestión e Ingeniería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Tipo de título derivado del nombre: «PLAN CONTINUIDAD» → Plan Continuidad · «TÉCNICO DE NIVEL SUPERIOR» o «TÉCNICO EN» → Título Técnico · el resto → Título Profesional.</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Cuando hay más de una jornada o más de un nivel con cuotas distintas se usa la más baja, porque la plantilla dice «Cuotas desde».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Aplicada en las 4 escuelas — pendiente de confirmación formal</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Calibración del Post anclado abajo — expandir_abajo sube al sujeto sin agrandarlo; si la cabeza invade la zona de logo se compensa con más expandir_lados.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Zona de silueta — el sujeto va dentro de Post x 600–960 / y 210–1080 · Story x 445–1015 / y 305–1920. Está corrida a la derecha para dejar libre el margen izquierdo.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RN-19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Título de dos líneas — sube el bloque completo una interlínea (~73px Post, ~85px Story) y el techo del mentón baja otro tanto.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expandir_lados es lo único que da recorrido horizontal. Sin ancho sobrante el clamp deja la cabeza contra el borde izquierdo.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Una foto por carrera, compartida por todas sus sedes.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Decidida por el usuario</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RN-22</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Sujeto único — cuando la foto trae más de una persona se elige una. El punto medio parte a la otra contra el borde.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RN-23</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El entregable es el PNG; el SVG se emite junto a él con --con-svg. Windows oculta las extensiones, así que el par se ve como dos archivos del mismo nombre.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RN-24</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La entrega se separa por escuela, carrera, modalidad y sede. Presencial y Online son campañas distintas.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RN-25</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Las medidas del rostro se leen sobre una grilla ampliada en centésimas, nunca se estiman sobre una miniatura. Un error de 0,05 del alto son ~50px en el lienzo.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RN-26</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Aire mínimo entre mentón y título: 70px en Post y 90px en Story; 50 y 70 cuando el título va a dos líneas.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RN-27</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Tope de 180 megapíxeles para la foto expandida.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RN-28</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El rostro no puede ocupar más de ~30 % del alto de la fotografía. En el Post la ventana vertical entre la zona de logo y el título es de 190px sobre 1080, así que un primer plano no tiene solución a ninguna combinación de expansiones.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 — 15-09-2026, seis fotos reemplazadas</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RN-29</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 xml:space="preserve">Redondeo de la cuota mensual: a la decena.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Resuelta — deducida del post de Ingeniería en Minas</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RN-30</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Las filas del Excel con código «NUEVA» o «NUEVA EN SEDE» no traen prefijo de sede: se asignan por el bloque de sede donde están en la hoja.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Confirmada — 15-09-2026</w:t>
            </w:r>
          </w:p>
        </w:tc>
      </w:tr>
      <w:tr>
        <w:tc>
          <w:tcPr>
            <w:tcW w:type="dxa" w:w="1020"/>
            <w:tcBorders>
              <w:top w:val="single" w:sz="4" w:color="BFBFBF"/>
              <w:left w:val="single" w:sz="4" w:color="BFBFBF"/>
              <w:bottom w:val="single" w:sz="4" w:color="BFBFBF"/>
              <w:right w:val="single" w:sz="4" w:color="BFBFBF"/>
            </w:tcBorders>
          </w:tcPr>
          <w:p>
            <w:pPr>
              <w:spacing w:after="40" w:line="240" w:lineRule="auto"/>
            </w:pPr>
            <w:r/>
            <w:r>
              <w:rPr>
                <w:sz w:val="18"/>
              </w:rPr>
              <w:t>RN-31</w:t>
            </w:r>
          </w:p>
        </w:tc>
        <w:tc>
          <w:tcPr>
            <w:tcW w:type="dxa" w:w="5896"/>
            <w:tcBorders>
              <w:top w:val="single" w:sz="4" w:color="BFBFBF"/>
              <w:left w:val="single" w:sz="4" w:color="BFBFBF"/>
              <w:bottom w:val="single" w:sz="4" w:color="BFBFBF"/>
              <w:right w:val="single" w:sz="4" w:color="BFBFBF"/>
            </w:tcBorders>
          </w:tcPr>
          <w:p>
            <w:pPr>
              <w:spacing w:after="40" w:line="240" w:lineRule="auto"/>
            </w:pPr>
            <w:r/>
            <w:r>
              <w:rPr>
                <w:sz w:val="18"/>
              </w:rPr>
              <w:t>Cuando el nombre de la carrera no admite el prefijo de la plantilla («Ingeniería en», «Técnico de Nivel Superior en») se usa «Carrera Profesional de». Afecta a Psicopedagogía, Contador Auditor, Administración Pública, Construcción Civil e Ingeniería Industrial.</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Aplicada — pendiente de confirmación</w:t>
            </w:r>
          </w:p>
        </w:tc>
      </w:tr>
    </w:tbl>
    <w:p>
      <w:pPr>
        <w:spacing w:after="80"/>
      </w:pPr>
    </w:p>
    <w:p>
      <w:pPr>
        <w:pStyle w:val="Heading2"/>
      </w:pPr>
      <w:r>
        <w:t>2.4 Riesgos: estado actual</w:t>
      </w:r>
    </w:p>
    <w:tbl>
      <w:tblPr>
        <w:tblW w:type="auto" w:w="0"/>
        <w:jc w:val="center"/>
        <w:tblLook w:firstColumn="1" w:firstRow="1" w:lastColumn="0" w:lastRow="0" w:noHBand="0" w:noVBand="1" w:val="04A0"/>
      </w:tblPr>
      <w:tblGrid>
        <w:gridCol w:w="4873"/>
        <w:gridCol w:w="4873"/>
      </w:tblGrid>
      <w:tr>
        <w:tc>
          <w:tcPr>
            <w:tcW w:type="dxa" w:w="4309"/>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Riesgo</w:t>
            </w:r>
          </w:p>
        </w:tc>
        <w:tc>
          <w:tcPr>
            <w:tcW w:type="dxa" w:w="487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Desborde de texto fuera del lienzo.</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auto-fit con métricas reales de fuente.</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La fotografía tapa el logo o el título.</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el solver no devuelve un encuadre que viole las zonas; si no hay solución, lo dice.</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El texto queda pegado al mentón aunque el encuadre «cumpla».</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RN-25 (medir, no estimar) y RN-26 (aire suficiente).</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Elegir una fotografía que después no tiene encuadre posible.</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Mitigado — RN-28 da el criterio al elegir. El solver lo detecta, pero para entonces la descarga ya se gastó.</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Fondo plano detrás del logo o del texto.</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Mitigado — RN-07 como criterio de selección, sin verificación automática.</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Dependencia de una sola persona.</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para texto, encuadre y render. Sigue en la selección de fotografía (P6).</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SVG de 15–30 MB acumulándose en la carpeta de entrega.</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Controlado — el SVG sólo se emite con --con-svg (RN-23).</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Foto expandida tan grande que Pillow la rechaza.</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tope de 180 MP en el solver (RN-27).</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Resolver una escuela pisa los encuadres de otra.</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el nombre de salida se deriva del de entrada (RF-30).</w:t>
            </w:r>
          </w:p>
        </w:tc>
      </w:tr>
      <w:tr>
        <w:tc>
          <w:tcPr>
            <w:tcW w:type="dxa" w:w="4309"/>
            <w:tcBorders>
              <w:top w:val="single" w:sz="4" w:color="BFBFBF"/>
              <w:left w:val="single" w:sz="4" w:color="BFBFBF"/>
              <w:bottom w:val="single" w:sz="4" w:color="BFBFBF"/>
              <w:right w:val="single" w:sz="4" w:color="BFBFBF"/>
            </w:tcBorders>
          </w:tcPr>
          <w:p>
            <w:pPr>
              <w:spacing w:after="40" w:line="240" w:lineRule="auto"/>
            </w:pPr>
            <w:r/>
            <w:r>
              <w:rPr>
                <w:sz w:val="18"/>
              </w:rPr>
              <w:t>Inkscape devuelve exit code 0 sin escribir el PNG.</w:t>
            </w:r>
          </w:p>
        </w:tc>
        <w:tc>
          <w:tcPr>
            <w:tcW w:type="dxa" w:w="4876"/>
            <w:tcBorders>
              <w:top w:val="single" w:sz="4" w:color="BFBFBF"/>
              <w:left w:val="single" w:sz="4" w:color="BFBFBF"/>
              <w:bottom w:val="single" w:sz="4" w:color="BFBFBF"/>
              <w:right w:val="single" w:sz="4" w:color="BFBFBF"/>
            </w:tcBorders>
          </w:tcPr>
          <w:p>
            <w:pPr>
              <w:spacing w:after="40" w:line="240" w:lineRule="auto"/>
            </w:pPr>
            <w:r/>
            <w:r>
              <w:rPr>
                <w:sz w:val="18"/>
              </w:rPr>
              <w:t>Eliminado — se invoca por lista de argumentos desde Python.</w:t>
            </w:r>
          </w:p>
        </w:tc>
      </w:tr>
    </w:tbl>
    <w:p>
      <w:pPr>
        <w:spacing w:after="80"/>
      </w:pPr>
    </w:p>
    <w:p>
      <w:pPr>
        <w:pStyle w:val="Heading1"/>
      </w:pPr>
      <w:r>
        <w:t>3. Parte 2 — El pipeline</w:t>
      </w:r>
    </w:p>
    <w:p>
      <w:r>
        <w:rPr>
          <w:b w:val="0"/>
        </w:rPr>
        <w:t>Seis módulos independientes, encadenados en el orden en que se ejecutan.</w:t>
      </w:r>
    </w:p>
    <w:p>
      <w:pPr>
        <w:pStyle w:val="Heading2"/>
      </w:pPr>
      <w:r>
        <w:t>3.1 Alcance: los seis módulos</w:t>
      </w:r>
    </w:p>
    <w:tbl>
      <w:tblPr>
        <w:tblW w:type="auto" w:w="0"/>
        <w:jc w:val="center"/>
        <w:tblLook w:firstColumn="1" w:firstRow="1" w:lastColumn="0" w:lastRow="0" w:noHBand="0" w:noVBand="1" w:val="04A0"/>
      </w:tblPr>
      <w:tblGrid>
        <w:gridCol w:w="2436"/>
        <w:gridCol w:w="2436"/>
        <w:gridCol w:w="2436"/>
        <w:gridCol w:w="2436"/>
      </w:tblGrid>
      <w:tr>
        <w:tc>
          <w:tcPr>
            <w:tcW w:type="dxa" w:w="238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Módulo</w:t>
            </w:r>
          </w:p>
        </w:tc>
        <w:tc>
          <w:tcPr>
            <w:tcW w:type="dxa" w:w="136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Reemplaza</w:t>
            </w:r>
          </w:p>
        </w:tc>
        <w:tc>
          <w:tcPr>
            <w:tcW w:type="dxa" w:w="317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Entrega</w:t>
            </w:r>
          </w:p>
        </w:tc>
        <w:tc>
          <w:tcPr>
            <w:tcW w:type="dxa" w:w="226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M1 — Datos (Excel → JSON)</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P1</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Un JSON por escuela con todas sus carreras y sedes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Pendiente — se arma a mano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M2 — Generador de texto</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P1–P5</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SVG con el texto puesto y autoajustado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M3 — Selección de fotografía</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P6</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Una fotografía por carrera en máxima resolución</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Semi-automatizado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M4 — Capa de fotografía</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P7</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SVG con la foto incrustada, expandida y encuadrada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M5 — Renderizado a PNG</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P8</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PNG listo para publicar</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r>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M6 — Orquestación de lote</w:t>
            </w:r>
          </w:p>
        </w:tc>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P9</w:t>
            </w:r>
          </w:p>
        </w:tc>
        <w:tc>
          <w:tcPr>
            <w:tcW w:type="dxa" w:w="3175"/>
            <w:tcBorders>
              <w:top w:val="single" w:sz="4" w:color="BFBFBF"/>
              <w:left w:val="single" w:sz="4" w:color="BFBFBF"/>
              <w:bottom w:val="single" w:sz="4" w:color="BFBFBF"/>
              <w:right w:val="single" w:sz="4" w:color="BFBFBF"/>
            </w:tcBorders>
          </w:tcPr>
          <w:p>
            <w:pPr>
              <w:spacing w:after="40" w:line="240" w:lineRule="auto"/>
            </w:pPr>
            <w:r/>
            <w:r>
              <w:rPr>
                <w:sz w:val="18"/>
              </w:rPr>
              <w:t>Una escuela completa, ordenada por carrera, modalidad y sede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Construido</w:t>
            </w:r>
          </w:p>
        </w:tc>
      </w:tr>
    </w:tbl>
    <w:p>
      <w:pPr>
        <w:spacing w:after="80"/>
      </w:pPr>
    </w:p>
    <w:p>
      <w:pPr>
        <w:pStyle w:val="Heading2"/>
      </w:pPr>
      <w:r>
        <w:t>3.2 Módulo 1 — Datos (Excel → JSON de escuela)</w:t>
      </w:r>
    </w:p>
    <w:p>
      <w:r>
        <w:rPr>
          <w:b w:val="0"/>
        </w:rPr>
        <w:t>Pendiente como script. El JSON se arma leyendo las hojas «OA Presencial» y «OA Online 27» de «Documento Admisión 2027 (1).xlsx».</w:t>
      </w:r>
    </w:p>
    <w:p>
      <w:r>
        <w:rPr>
          <w:b/>
        </w:rPr>
        <w:t>Tres cosas que hay que saber para construirlo</w:t>
      </w:r>
    </w:p>
    <w:p>
      <w:pPr>
        <w:pStyle w:val="ListBullet"/>
        <w:spacing w:after="60"/>
      </w:pPr>
      <w:r>
        <w:t>La sede sale del prefijo del código de carrera: AR Arauco, CC Concepción, LU La Unión, PG Panguipulli. La modalidad sale de la sede: la única virtual es «Sede Online».</w:t>
      </w:r>
    </w:p>
    <w:p>
      <w:pPr>
        <w:pStyle w:val="ListBullet"/>
        <w:spacing w:after="60"/>
      </w:pPr>
      <w:r>
        <w:t>Las filas con código «NUEVA» o «NUEVA EN SEDE» no traen prefijo. Hay que asignarlas por el bloque de sede donde están en la hoja, que se reconoce por las filas de encabezado repetidas (RN-30).</w:t>
      </w:r>
    </w:p>
    <w:p>
      <w:pPr>
        <w:pStyle w:val="ListBullet"/>
        <w:spacing w:after="60"/>
      </w:pPr>
      <w:r>
        <w:t>Los niveles de una misma disciplina se agrupan en una pieza con badges (RN-14), y la cuota que se muestra es la más baja de las agrupadas (RN-16).</w:t>
      </w:r>
    </w:p>
    <w:p>
      <w:pPr>
        <w:pStyle w:val="Heading2"/>
      </w:pPr>
      <w:r>
        <w:t>3.3 Módulo 2 — Generador de texto</w:t>
      </w:r>
    </w:p>
    <w:p>
      <w:pPr>
        <w:spacing w:after="40" w:line="240" w:lineRule="auto"/>
        <w:ind w:left="340"/>
      </w:pPr>
      <w:r>
        <w:rPr>
          <w:rFonts w:ascii="Consolas" w:hAnsi="Consolas"/>
          <w:sz w:val="18"/>
        </w:rPr>
        <w:t>00-Scripts\generar_graficas_ipg.py</w:t>
      </w:r>
    </w:p>
    <w:p>
      <w:pPr>
        <w:pStyle w:val="ListBullet"/>
        <w:spacing w:after="60"/>
      </w:pPr>
      <w:r>
        <w:t>Prefijo y subrayado: reemplaza el texto y recalcula el ancho del subrayado con métricas reales de la fuente (RN-01, RN-02).</w:t>
      </w:r>
    </w:p>
    <w:p>
      <w:pPr>
        <w:pStyle w:val="ListBullet"/>
        <w:spacing w:after="60"/>
      </w:pPr>
      <w:r>
        <w:t>Nombre: si no entra en el ancho máximo (1011px Post / 968px Story) achica la fuente hasta el 82%; si aún no entra, corta en dos líneas balanceadas y sube el bloque una interlínea (RN-19).</w:t>
      </w:r>
    </w:p>
    <w:p>
      <w:pPr>
        <w:pStyle w:val="ListBullet"/>
        <w:spacing w:after="60"/>
      </w:pPr>
      <w:r>
        <w:t>Badges: centra el texto en cada pastilla y elimina las sobrantes.</w:t>
      </w:r>
    </w:p>
    <w:p>
      <w:pPr>
        <w:pStyle w:val="ListBullet"/>
        <w:spacing w:after="60"/>
      </w:pPr>
      <w:r>
        <w:t>Beca y cuota: formatea con separador de miles y centra en la pastilla.</w:t>
      </w:r>
    </w:p>
    <w:p>
      <w:pPr>
        <w:pStyle w:val="ListBullet"/>
        <w:spacing w:after="60"/>
      </w:pPr>
      <w:r>
        <w:t>Sede: reemplaza el texto y ajusta el ancho de la pastilla.</w:t>
      </w:r>
    </w:p>
    <w:p>
      <w:pPr>
        <w:pStyle w:val="Heading2"/>
      </w:pPr>
      <w:r>
        <w:t>3.4 Módulo 3 — Selección y descarga de fotografía</w:t>
      </w:r>
    </w:p>
    <w:p>
      <w:r>
        <w:rPr>
          <w:b w:val="0"/>
        </w:rPr>
        <w:t>No hay script: es un procedimiento asistido, en §5.2. Es el único paso del pipeline donde el criterio sigue siendo humano.</w:t>
      </w:r>
    </w:p>
    <w:p>
      <w:r>
        <w:rPr>
          <w:b/>
        </w:rPr>
        <w:t>Revisar sin gastar descargas</w:t>
      </w:r>
    </w:p>
    <w:p>
      <w:r>
        <w:rPr>
          <w:b w:val="0"/>
        </w:rPr>
        <w:t>Las miniaturas con marca de agua («…-260nw-&lt;id&gt;.jpg») son públicas. Se bajan varias, se montan en una hoja de contacto y se elige sobre ella. En las cuatro escuelas se revisaron unas 150 candidatas y se descargaron 43.</w:t>
      </w:r>
    </w:p>
    <w:p>
      <w:r>
        <w:rPr>
          <w:b/>
        </w:rPr>
        <w:t>Filtros de URL que funcionan</w:t>
      </w:r>
    </w:p>
    <w:p>
      <w:r>
        <w:rPr>
          <w:b w:val="0"/>
        </w:rPr>
        <w:t>image_type=photo · orientation=horizontal · mreleased=true · age=20s (un solo valor: la lista separada por comas descarta todo) · ethnicity=hispanic, que es el metadato propio de Shutterstock para perfil latinoamericano.</w:t>
      </w:r>
    </w:p>
    <w:p>
      <w:r>
        <w:rPr>
          <w:b/>
        </w:rPr>
        <w:t>Descarga</w:t>
      </w:r>
    </w:p>
    <w:p>
      <w:r>
        <w:rPr>
          <w:b w:val="0"/>
        </w:rPr>
        <w:t>El botón «Descargar» funciona con plan activo. Brave deja el archivo como .tmp sin renombrarlo aunque esté completo: hay que recogerlo buscando el JPEG más reciente y validándolo al abrirlo, no por la extensión.</w:t>
      </w:r>
    </w:p>
    <w:p>
      <w:pPr>
        <w:pStyle w:val="Heading2"/>
      </w:pPr>
      <w:r>
        <w:t>3.5 Módulo 4 — Capa de fotografía y expansión de lienzo</w:t>
      </w:r>
    </w:p>
    <w:p>
      <w:pPr>
        <w:spacing w:after="40" w:line="240" w:lineRule="auto"/>
        <w:ind w:left="340"/>
      </w:pPr>
      <w:r>
        <w:rPr>
          <w:rFonts w:ascii="Consolas" w:hAnsi="Consolas"/>
          <w:sz w:val="18"/>
        </w:rPr>
        <w:t>00-Scripts\capa_fotos_ipg.py</w:t>
      </w:r>
    </w:p>
    <w:p>
      <w:pPr>
        <w:pStyle w:val="ListBullet"/>
        <w:spacing w:after="60"/>
      </w:pPr>
      <w:r>
        <w:t>Si el JSON pide expansión, genera la foto expandida aplicando lados → arriba → abajo y la cachea en 03-Fotografias\_expandidas\.</w:t>
      </w:r>
    </w:p>
    <w:p>
      <w:pPr>
        <w:pStyle w:val="ListBullet"/>
        <w:spacing w:after="60"/>
      </w:pPr>
      <w:r>
        <w:t>Calcula escala y desplazamiento con la fórmula cover + zoom + foco.</w:t>
      </w:r>
    </w:p>
    <w:p>
      <w:pPr>
        <w:pStyle w:val="ListBullet"/>
        <w:spacing w:after="60"/>
      </w:pPr>
      <w:r>
        <w:t>Reemplaza el grupo de fotos de la plantilla por la foto incrustada.</w:t>
      </w:r>
    </w:p>
    <w:p>
      <w:pPr>
        <w:pStyle w:val="ListBullet"/>
        <w:spacing w:after="60"/>
      </w:pPr>
      <w:r>
        <w:t>Elimina la plancha gris que tapa la capa de fotos.</w:t>
      </w:r>
    </w:p>
    <w:p>
      <w:pPr>
        <w:pStyle w:val="ListBullet"/>
        <w:spacing w:after="60"/>
      </w:pPr>
      <w:r>
        <w:t>Reaplica el degradado inferior y agrega uno superior propio.</w:t>
      </w:r>
    </w:p>
    <w:p>
      <w:pPr>
        <w:pStyle w:val="ListBullet"/>
        <w:spacing w:after="60"/>
      </w:pPr>
      <w:r>
        <w:t>Dibuja el mapa de zonas seguras, incluida la silueta, para verificar.</w:t>
      </w:r>
    </w:p>
    <w:p>
      <w:pPr>
        <w:pStyle w:val="Heading2"/>
      </w:pPr>
      <w:r>
        <w:t>3.6 Módulo 5 — Renderizado a PNG</w:t>
      </w:r>
    </w:p>
    <w:p>
      <w:r>
        <w:rPr>
          <w:b w:val="0"/>
        </w:rPr>
        <w:t>Inkscape 1.4.4 en línea de comandos, invocado desde Python por lista de argumentos — nunca por shell. La ruta del repositorio tiene espacios, «&amp;» y «ñ»: pasada por shell sin entrecomillar, Inkscape interpreta cada fragmento como un archivo distinto, aborta y devuelve 0 igual, sin escribir el PNG.</w:t>
      </w:r>
    </w:p>
    <w:p>
      <w:pPr>
        <w:pStyle w:val="Heading2"/>
      </w:pPr>
      <w:r>
        <w:t>3.7 Módulo 6 — Orquestación de lote</w:t>
      </w:r>
    </w:p>
    <w:p>
      <w:pPr>
        <w:spacing w:after="40" w:line="240" w:lineRule="auto"/>
        <w:ind w:left="340"/>
      </w:pPr>
      <w:r>
        <w:rPr>
          <w:rFonts w:ascii="Consolas" w:hAnsi="Consolas"/>
          <w:sz w:val="18"/>
        </w:rPr>
        <w:t>00-Scripts\lote_graficas_ipg.py</w:t>
      </w:r>
    </w:p>
    <w:p>
      <w:pPr>
        <w:pStyle w:val="ListBullet"/>
        <w:spacing w:after="60"/>
      </w:pPr>
      <w:r>
        <w:t>Importa el generador de texto y la capa de fotografía en memoria, sin archivos intermedios entre módulos.</w:t>
      </w:r>
    </w:p>
    <w:p>
      <w:pPr>
        <w:pStyle w:val="ListBullet"/>
        <w:spacing w:after="60"/>
      </w:pPr>
      <w:r>
        <w:t>Escribe el SVG en temporal, lo rasteriza y lo borra, salvo que se pida --con-svg (RN-23).</w:t>
      </w:r>
    </w:p>
    <w:p>
      <w:pPr>
        <w:pStyle w:val="ListBullet"/>
        <w:spacing w:after="60"/>
      </w:pPr>
      <w:r>
        <w:t>Ordena la salida por carrera, modalidad y sede (RN-24).</w:t>
      </w:r>
    </w:p>
    <w:p>
      <w:pPr>
        <w:pStyle w:val="Heading2"/>
      </w:pPr>
      <w:r>
        <w:t>3.8 Antes y después</w:t>
      </w:r>
    </w:p>
    <w:tbl>
      <w:tblPr>
        <w:tblW w:type="auto" w:w="0"/>
        <w:jc w:val="center"/>
        <w:tblLook w:firstColumn="1" w:firstRow="1" w:lastColumn="0" w:lastRow="0" w:noHBand="0" w:noVBand="1" w:val="04A0"/>
      </w:tblPr>
      <w:tblGrid>
        <w:gridCol w:w="3249"/>
        <w:gridCol w:w="3249"/>
        <w:gridCol w:w="3249"/>
      </w:tblGrid>
      <w:tr>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Aspecto</w:t>
            </w:r>
          </w:p>
        </w:tc>
        <w:tc>
          <w:tcPr>
            <w:tcW w:type="dxa" w:w="306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Proceso manual</w:t>
            </w:r>
          </w:p>
        </w:tc>
        <w:tc>
          <w:tcPr>
            <w:tcW w:type="dxa" w:w="351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Proceso automatizado</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Nombre, badges, beca, cuota, sede</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Tipeo manual por pieza</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Generado desde el JSON de escuela</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Ajuste de tamaño de título</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A ojo, prueba y error</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Automático, con métricas reales de fuente</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Selección de fotografía</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Búsqueda manual sin criterio escrito</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Búsqueda asistida con hoja de contacto y criterio documentado</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Medición del rostro</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No se medía</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Grilla en centésimas sobre recorte ampliado (RN-25)</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Encuadre de la fotografía</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Recorte y posicionamiento a mano</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Resuelto por solver sobre tres restricciones</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Verificación de zonas seguras</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Visual, sin referencia</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Mapa de zonas superpuesto, incluida la silueta</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Verificación de la escuela</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Abrir los PNG uno por uno</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Hoja de contacto con una pieza por carrera</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Exportación a PNG</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Manual desde Illustrator</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Automática vía Inkscape, con verificación de archivo</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Repetición por escuela</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Se repite todo a mano</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Una corrida por escuela</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Documentación</w:t>
            </w:r>
          </w:p>
        </w:tc>
        <w:tc>
          <w:tcPr>
            <w:tcW w:type="dxa" w:w="3061"/>
            <w:tcBorders>
              <w:top w:val="single" w:sz="4" w:color="BFBFBF"/>
              <w:left w:val="single" w:sz="4" w:color="BFBFBF"/>
              <w:bottom w:val="single" w:sz="4" w:color="BFBFBF"/>
              <w:right w:val="single" w:sz="4" w:color="BFBFBF"/>
            </w:tcBorders>
          </w:tcPr>
          <w:p>
            <w:pPr>
              <w:spacing w:after="40" w:line="240" w:lineRule="auto"/>
            </w:pPr>
            <w:r/>
            <w:r>
              <w:rPr>
                <w:sz w:val="18"/>
              </w:rPr>
              <w:t>Se escribía a mano y quedaba desfasada</w:t>
            </w:r>
          </w:p>
        </w:tc>
        <w:tc>
          <w:tcPr>
            <w:tcW w:type="dxa" w:w="3515"/>
            <w:tcBorders>
              <w:top w:val="single" w:sz="4" w:color="BFBFBF"/>
              <w:left w:val="single" w:sz="4" w:color="BFBFBF"/>
              <w:bottom w:val="single" w:sz="4" w:color="BFBFBF"/>
              <w:right w:val="single" w:sz="4" w:color="BFBFBF"/>
            </w:tcBorders>
          </w:tcPr>
          <w:p>
            <w:pPr>
              <w:spacing w:after="40" w:line="240" w:lineRule="auto"/>
            </w:pPr>
            <w:r/>
            <w:r>
              <w:rPr>
                <w:sz w:val="18"/>
              </w:rPr>
              <w:t>Se regenera desde generar_documentacion.py</w:t>
            </w:r>
          </w:p>
        </w:tc>
      </w:tr>
    </w:tbl>
    <w:p>
      <w:pPr>
        <w:spacing w:after="80"/>
      </w:pPr>
    </w:p>
    <w:p>
      <w:pPr>
        <w:pStyle w:val="Heading2"/>
      </w:pPr>
      <w:r>
        <w:t>3.9 Inventario de scripts</w:t>
      </w:r>
    </w:p>
    <w:tbl>
      <w:tblPr>
        <w:tblW w:type="auto" w:w="0"/>
        <w:jc w:val="center"/>
        <w:tblLook w:firstColumn="1" w:firstRow="1" w:lastColumn="0" w:lastRow="0" w:noHBand="0" w:noVBand="1" w:val="04A0"/>
      </w:tblPr>
      <w:tblGrid>
        <w:gridCol w:w="3249"/>
        <w:gridCol w:w="3249"/>
        <w:gridCol w:w="3249"/>
      </w:tblGrid>
      <w:tr>
        <w:tc>
          <w:tcPr>
            <w:tcW w:type="dxa" w:w="249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Script</w:t>
            </w:r>
          </w:p>
        </w:tc>
        <w:tc>
          <w:tcPr>
            <w:tcW w:type="dxa" w:w="419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Qué hace</w:t>
            </w:r>
          </w:p>
        </w:tc>
        <w:tc>
          <w:tcPr>
            <w:tcW w:type="dxa" w:w="249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Cuándo se corre</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generar_graficas_ipg.py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Módulo 2: el texto de una pieza.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Lo llama el lote; rara vez directo</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capa_fotos_ipg.py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Módulo 4: expansión, encuadre, degradados y mapa de zonas.</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Lo llama el lote</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grilla_fina.py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Dibuja centésimas sobre un recorte ampliado, para leer pelo, mentón y centro de la cabeza.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Una vez por foto nueva (§5.3)</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medir_titulo.py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Renderiza cada pieza sin foto y mide en qué Y empieza el título.</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Una vez por escuela (§5.3)</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solver_encuadre.py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Resuelve expansiones y punto focal contra las zonas seguras.</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Cada vez que cambian las medidas</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aplicar_encuadres.py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Vuelca los encuadres resueltos al JSON de escuela.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Después del solver</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asignar_fotos.py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Escribe la ruta de foto de cada carrera en el JSON.</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Después de descargar las fotos</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propagar_fotos.py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Copia foto y encuadre a todas las sedes de cada carrera.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Después de asignar fotos</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recoger_descargas.py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Recoge varias descargas y las reparte por carrera en orden.</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Después de una tanda de descargas</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lote_graficas_ipg.py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Módulo 6: genera la escuela completa.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El comando principal</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hoja_contacto.py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Monta las piezas de una escuela en una sola hoja.</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Para verificar (§5.6)</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limpiar_versiones.py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Purga carpetas de trabajo y caché obsoleto.</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Al cerrar una escuela</w:t>
            </w:r>
          </w:p>
        </w:tc>
      </w:tr>
      <w:tr>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generar_documentacion.py</w:t>
            </w:r>
          </w:p>
        </w:tc>
        <w:tc>
          <w:tcPr>
            <w:tcW w:type="dxa" w:w="4195"/>
            <w:tcBorders>
              <w:top w:val="single" w:sz="4" w:color="BFBFBF"/>
              <w:left w:val="single" w:sz="4" w:color="BFBFBF"/>
              <w:bottom w:val="single" w:sz="4" w:color="BFBFBF"/>
              <w:right w:val="single" w:sz="4" w:color="BFBFBF"/>
            </w:tcBorders>
          </w:tcPr>
          <w:p>
            <w:pPr>
              <w:spacing w:after="40" w:line="240" w:lineRule="auto"/>
            </w:pPr>
            <w:r/>
            <w:r>
              <w:rPr>
                <w:sz w:val="18"/>
              </w:rPr>
              <w:t>Regenera este documento.</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Cuando cambia el pipeline</w:t>
            </w:r>
          </w:p>
        </w:tc>
      </w:tr>
    </w:tbl>
    <w:p>
      <w:pPr>
        <w:spacing w:after="80"/>
      </w:pPr>
    </w:p>
    <w:p>
      <w:pPr>
        <w:pStyle w:val="Heading1"/>
      </w:pPr>
      <w:r>
        <w:t>4. Esquema de datos y encuadre</w:t>
      </w:r>
    </w:p>
    <w:p>
      <w:pPr>
        <w:pStyle w:val="Heading2"/>
      </w:pPr>
      <w:r>
        <w:t>4.1 Los cuatro archivos por escuela</w:t>
      </w:r>
    </w:p>
    <w:tbl>
      <w:tblPr>
        <w:tblW w:type="auto" w:w="0"/>
        <w:jc w:val="center"/>
        <w:tblLook w:firstColumn="1" w:firstRow="1" w:lastColumn="0" w:lastRow="0" w:noHBand="0" w:noVBand="1" w:val="04A0"/>
      </w:tblPr>
      <w:tblGrid>
        <w:gridCol w:w="3249"/>
        <w:gridCol w:w="3249"/>
        <w:gridCol w:w="3249"/>
      </w:tblGrid>
      <w:tr>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Archivo</w:t>
            </w:r>
          </w:p>
        </w:tc>
        <w:tc>
          <w:tcPr>
            <w:tcW w:type="dxa" w:w="3969"/>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Qué contiene</w:t>
            </w:r>
          </w:p>
        </w:tc>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Quién lo escribe</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02-Datos\escuela-&lt;x&gt;.json</w:t>
            </w:r>
          </w:p>
        </w:tc>
        <w:tc>
          <w:tcPr>
            <w:tcW w:type="dxa" w:w="3969"/>
            <w:tcBorders>
              <w:top w:val="single" w:sz="4" w:color="BFBFBF"/>
              <w:left w:val="single" w:sz="4" w:color="BFBFBF"/>
              <w:bottom w:val="single" w:sz="4" w:color="BFBFBF"/>
              <w:right w:val="single" w:sz="4" w:color="BFBFBF"/>
            </w:tcBorders>
          </w:tcPr>
          <w:p>
            <w:pPr>
              <w:spacing w:after="40" w:line="240" w:lineRule="auto"/>
            </w:pPr>
            <w:r/>
            <w:r>
              <w:rPr>
                <w:sz w:val="18"/>
              </w:rPr>
              <w:t>Todas las carreras y sedes: textos, beca, cuota, foto y encuadre. Es la única fuente de verdad del lote.</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A mano desde el Excel, más lo que inyectan los scripts</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02-Datos\medidas-&lt;x&gt;.json</w:t>
            </w:r>
          </w:p>
        </w:tc>
        <w:tc>
          <w:tcPr>
            <w:tcW w:type="dxa" w:w="3969"/>
            <w:tcBorders>
              <w:top w:val="single" w:sz="4" w:color="BFBFBF"/>
              <w:left w:val="single" w:sz="4" w:color="BFBFBF"/>
              <w:bottom w:val="single" w:sz="4" w:color="BFBFBF"/>
              <w:right w:val="single" w:sz="4" w:color="BFBFBF"/>
            </w:tcBorders>
          </w:tcPr>
          <w:p>
            <w:pPr>
              <w:spacing w:after="40" w:line="240" w:lineRule="auto"/>
            </w:pPr>
            <w:r/>
            <w:r>
              <w:rPr>
                <w:sz w:val="18"/>
              </w:rPr>
              <w:t>Tres medidas por foto y el Y del título en cada formato.</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A mano con grilla_fina.py; el título lo escribe medir_titulo.py</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02-Datos\titulos-&lt;x&gt;.json</w:t>
            </w:r>
          </w:p>
        </w:tc>
        <w:tc>
          <w:tcPr>
            <w:tcW w:type="dxa" w:w="3969"/>
            <w:tcBorders>
              <w:top w:val="single" w:sz="4" w:color="BFBFBF"/>
              <w:left w:val="single" w:sz="4" w:color="BFBFBF"/>
              <w:bottom w:val="single" w:sz="4" w:color="BFBFBF"/>
              <w:right w:val="single" w:sz="4" w:color="BFBFBF"/>
            </w:tcBorders>
          </w:tcPr>
          <w:p>
            <w:pPr>
              <w:spacing w:after="40" w:line="240" w:lineRule="auto"/>
            </w:pPr>
            <w:r/>
            <w:r>
              <w:rPr>
                <w:sz w:val="18"/>
              </w:rPr>
              <w:t>Y donde empieza el título de cada carrera, por formato.</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medir_titulo.py</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02-Datos\encuadres-&lt;x&gt;.json</w:t>
            </w:r>
          </w:p>
        </w:tc>
        <w:tc>
          <w:tcPr>
            <w:tcW w:type="dxa" w:w="3969"/>
            <w:tcBorders>
              <w:top w:val="single" w:sz="4" w:color="BFBFBF"/>
              <w:left w:val="single" w:sz="4" w:color="BFBFBF"/>
              <w:bottom w:val="single" w:sz="4" w:color="BFBFBF"/>
              <w:right w:val="single" w:sz="4" w:color="BFBFBF"/>
            </w:tcBorders>
          </w:tcPr>
          <w:p>
            <w:pPr>
              <w:spacing w:after="40" w:line="240" w:lineRule="auto"/>
            </w:pPr>
            <w:r/>
            <w:r>
              <w:rPr>
                <w:sz w:val="18"/>
              </w:rPr>
              <w:t>Expansiones y punto focal resueltos por carrera.</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solver_encuadre.py; no se edita a mano</w:t>
            </w:r>
          </w:p>
        </w:tc>
      </w:tr>
    </w:tbl>
    <w:p>
      <w:pPr>
        <w:spacing w:after="80"/>
      </w:pPr>
    </w:p>
    <w:p>
      <w:r>
        <w:rPr>
          <w:b w:val="0"/>
          <w:color w:val="555555"/>
          <w:sz w:val="19"/>
        </w:rPr>
        <w:t>Las cuatro escuelas del proyecto usan los sufijos salud, educacion, gestion e ingenieria.</w:t>
      </w:r>
    </w:p>
    <w:p>
      <w:pPr>
        <w:pStyle w:val="Heading2"/>
      </w:pPr>
      <w:r>
        <w:t>4.2 El JSON de escuela — campo por campo</w:t>
      </w:r>
    </w:p>
    <w:p>
      <w:pPr>
        <w:spacing w:after="40" w:line="240" w:lineRule="auto"/>
        <w:ind w:left="340"/>
      </w:pPr>
      <w:r>
        <w:rPr>
          <w:rFonts w:ascii="Consolas" w:hAnsi="Consolas"/>
          <w:sz w:val="18"/>
        </w:rPr>
        <w:t>{</w:t>
      </w:r>
    </w:p>
    <w:p>
      <w:pPr>
        <w:spacing w:after="40" w:line="240" w:lineRule="auto"/>
        <w:ind w:left="340"/>
      </w:pPr>
      <w:r>
        <w:rPr>
          <w:rFonts w:ascii="Consolas" w:hAnsi="Consolas"/>
          <w:sz w:val="18"/>
        </w:rPr>
        <w:t xml:space="preserve">  "escuela": "Escuela de Salud",</w:t>
      </w:r>
    </w:p>
    <w:p>
      <w:pPr>
        <w:spacing w:after="40" w:line="240" w:lineRule="auto"/>
        <w:ind w:left="340"/>
      </w:pPr>
      <w:r>
        <w:rPr>
          <w:rFonts w:ascii="Consolas" w:hAnsi="Consolas"/>
          <w:sz w:val="18"/>
        </w:rPr>
        <w:t xml:space="preserve">  "carreras": [</w:t>
      </w:r>
    </w:p>
    <w:p>
      <w:pPr>
        <w:spacing w:after="40" w:line="240" w:lineRule="auto"/>
        <w:ind w:left="340"/>
      </w:pPr>
      <w:r>
        <w:rPr>
          <w:rFonts w:ascii="Consolas" w:hAnsi="Consolas"/>
          <w:sz w:val="18"/>
        </w:rPr>
        <w:t xml:space="preserve">    {</w:t>
      </w:r>
    </w:p>
    <w:p>
      <w:pPr>
        <w:spacing w:after="40" w:line="240" w:lineRule="auto"/>
        <w:ind w:left="340"/>
      </w:pPr>
      <w:r>
        <w:rPr>
          <w:rFonts w:ascii="Consolas" w:hAnsi="Consolas"/>
          <w:sz w:val="18"/>
        </w:rPr>
        <w:t xml:space="preserve">      "carpeta": "Enfermeria",</w:t>
      </w:r>
    </w:p>
    <w:p>
      <w:pPr>
        <w:spacing w:after="40" w:line="240" w:lineRule="auto"/>
        <w:ind w:left="340"/>
      </w:pPr>
      <w:r>
        <w:rPr>
          <w:rFonts w:ascii="Consolas" w:hAnsi="Consolas"/>
          <w:sz w:val="18"/>
        </w:rPr>
        <w:t xml:space="preserve">      "slug": "Enfermeria-Panguipulli",</w:t>
      </w:r>
    </w:p>
    <w:p>
      <w:pPr>
        <w:spacing w:after="40" w:line="240" w:lineRule="auto"/>
        <w:ind w:left="340"/>
      </w:pPr>
      <w:r>
        <w:rPr>
          <w:rFonts w:ascii="Consolas" w:hAnsi="Consolas"/>
          <w:sz w:val="18"/>
        </w:rPr>
        <w:t xml:space="preserve">      "prefijo": "Técnico de Nivel Superior en",</w:t>
      </w:r>
    </w:p>
    <w:p>
      <w:pPr>
        <w:spacing w:after="40" w:line="240" w:lineRule="auto"/>
        <w:ind w:left="340"/>
      </w:pPr>
      <w:r>
        <w:rPr>
          <w:rFonts w:ascii="Consolas" w:hAnsi="Consolas"/>
          <w:sz w:val="18"/>
        </w:rPr>
        <w:t xml:space="preserve">      "nombre": "ENFERMERÍA",</w:t>
      </w:r>
    </w:p>
    <w:p>
      <w:pPr>
        <w:spacing w:after="40" w:line="240" w:lineRule="auto"/>
        <w:ind w:left="340"/>
      </w:pPr>
      <w:r>
        <w:rPr>
          <w:rFonts w:ascii="Consolas" w:hAnsi="Consolas"/>
          <w:sz w:val="18"/>
        </w:rPr>
        <w:t xml:space="preserve">      "badges": ["Título Técnico"],</w:t>
      </w:r>
    </w:p>
    <w:p>
      <w:pPr>
        <w:spacing w:after="40" w:line="240" w:lineRule="auto"/>
        <w:ind w:left="340"/>
      </w:pPr>
      <w:r>
        <w:rPr>
          <w:rFonts w:ascii="Consolas" w:hAnsi="Consolas"/>
          <w:sz w:val="18"/>
        </w:rPr>
        <w:t xml:space="preserve">      "sede": "Sede Panguipulli",</w:t>
      </w:r>
    </w:p>
    <w:p>
      <w:pPr>
        <w:spacing w:after="40" w:line="240" w:lineRule="auto"/>
        <w:ind w:left="340"/>
      </w:pPr>
      <w:r>
        <w:rPr>
          <w:rFonts w:ascii="Consolas" w:hAnsi="Consolas"/>
          <w:sz w:val="18"/>
        </w:rPr>
        <w:t xml:space="preserve">      "foto": "Escuela de Salud/Enfermeria/Enfermeria.jpg",</w:t>
      </w:r>
    </w:p>
    <w:p>
      <w:pPr>
        <w:spacing w:after="40" w:line="240" w:lineRule="auto"/>
        <w:ind w:left="340"/>
      </w:pPr>
      <w:r>
        <w:rPr>
          <w:rFonts w:ascii="Consolas" w:hAnsi="Consolas"/>
          <w:sz w:val="18"/>
        </w:rPr>
        <w:t xml:space="preserve">      "expandir_lados_post": 1.9,</w:t>
      </w:r>
    </w:p>
    <w:p>
      <w:pPr>
        <w:spacing w:after="40" w:line="240" w:lineRule="auto"/>
        <w:ind w:left="340"/>
      </w:pPr>
      <w:r>
        <w:rPr>
          <w:rFonts w:ascii="Consolas" w:hAnsi="Consolas"/>
          <w:sz w:val="18"/>
        </w:rPr>
        <w:t xml:space="preserve">      "expandir_arriba_post": 0.22,</w:t>
      </w:r>
    </w:p>
    <w:p>
      <w:pPr>
        <w:spacing w:after="40" w:line="240" w:lineRule="auto"/>
        <w:ind w:left="340"/>
      </w:pPr>
      <w:r>
        <w:rPr>
          <w:rFonts w:ascii="Consolas" w:hAnsi="Consolas"/>
          <w:sz w:val="18"/>
        </w:rPr>
        <w:t xml:space="preserve">      "expandir_abajo_post": 0.18,</w:t>
      </w:r>
    </w:p>
    <w:p>
      <w:pPr>
        <w:spacing w:after="40" w:line="240" w:lineRule="auto"/>
        <w:ind w:left="340"/>
      </w:pPr>
      <w:r>
        <w:rPr>
          <w:rFonts w:ascii="Consolas" w:hAnsi="Consolas"/>
          <w:sz w:val="18"/>
        </w:rPr>
        <w:t xml:space="preserve">      "focal_post": [0.4655, 1, 0.7222, 1],</w:t>
      </w:r>
    </w:p>
    <w:p>
      <w:pPr>
        <w:spacing w:after="40" w:line="240" w:lineRule="auto"/>
        <w:ind w:left="340"/>
      </w:pPr>
      <w:r>
        <w:rPr>
          <w:rFonts w:ascii="Consolas" w:hAnsi="Consolas"/>
          <w:sz w:val="18"/>
        </w:rPr>
        <w:t xml:space="preserve">      "focal_story": [0.4467, 0, 0.6759, 0]</w:t>
      </w:r>
    </w:p>
    <w:p>
      <w:pPr>
        <w:spacing w:after="40" w:line="240" w:lineRule="auto"/>
        <w:ind w:left="340"/>
      </w:pPr>
      <w:r>
        <w:rPr>
          <w:rFonts w:ascii="Consolas" w:hAnsi="Consolas"/>
          <w:sz w:val="18"/>
        </w:rPr>
        <w:t xml:space="preserve">    }</w:t>
      </w:r>
    </w:p>
    <w:p>
      <w:pPr>
        <w:spacing w:after="40" w:line="240" w:lineRule="auto"/>
        <w:ind w:left="340"/>
      </w:pPr>
      <w:r>
        <w:rPr>
          <w:rFonts w:ascii="Consolas" w:hAnsi="Consolas"/>
          <w:sz w:val="18"/>
        </w:rPr>
        <w:t xml:space="preserve">  ]</w:t>
      </w:r>
    </w:p>
    <w:p>
      <w:pPr>
        <w:spacing w:after="40" w:line="240" w:lineRule="auto"/>
        <w:ind w:left="340"/>
      </w:pPr>
      <w:r>
        <w:rPr>
          <w:rFonts w:ascii="Consolas" w:hAnsi="Consolas"/>
          <w:sz w:val="18"/>
        </w:rPr>
        <w:t>}</w:t>
      </w:r>
    </w:p>
    <w:p>
      <w:r>
        <w:rPr>
          <w:b w:val="0"/>
        </w:rPr>
      </w:r>
    </w:p>
    <w:tbl>
      <w:tblPr>
        <w:tblW w:type="auto" w:w="0"/>
        <w:jc w:val="center"/>
        <w:tblLook w:firstColumn="1" w:firstRow="1" w:lastColumn="0" w:lastRow="0" w:noHBand="0" w:noVBand="1" w:val="04A0"/>
      </w:tblPr>
      <w:tblGrid>
        <w:gridCol w:w="3249"/>
        <w:gridCol w:w="3249"/>
        <w:gridCol w:w="3249"/>
      </w:tblGrid>
      <w:tr>
        <w:tc>
          <w:tcPr>
            <w:tcW w:type="dxa" w:w="272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Campo</w:t>
            </w:r>
          </w:p>
        </w:tc>
        <w:tc>
          <w:tcPr>
            <w:tcW w:type="dxa" w:w="1247"/>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Obligatorio</w:t>
            </w:r>
          </w:p>
        </w:tc>
        <w:tc>
          <w:tcPr>
            <w:tcW w:type="dxa" w:w="521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Descripción</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escuela</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Nombre de la carpeta de escuela en la entrega.</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carpeta</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Carpeta de la carrera. Agrupa sus sedes y es la clave con que se propagan foto y encuadre.</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slug</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Identificador de archivo, sin espacios ni tildes.</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prefijo</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Define el ancho del subrayado. Puede variar entre sedes de la misma carrera si cambia el nivel que se dicta.</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nombre</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Nombre en mayúsculas, con tildes. Se autoajusta a una o dos líneas.</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badges</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1 a 3 textos de tipo de título.</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beca</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Porcentaje: 40 presencial, 50 online.</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cuota</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Monto mensual sin puntos ni signo, redondeado a la decena (RN-29).</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sede</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Sí</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De aquí salen la modalidad y la carpeta de destino.</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foto</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Si hay foto</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Ruta relativa dentro de 03-Fotografias. La escribe asignar_fotos.py.</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focal_post / focal_story</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No</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[fx, fy, fx_destino, fy_destino]. Lo escribe el solver.</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expandir_lados / _arriba / _abajo (_post, _story)</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No</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Fracciones de expansión. Las escribe el solver.</w:t>
            </w:r>
          </w:p>
        </w:tc>
      </w:tr>
      <w:tr>
        <w:tc>
          <w:tcPr>
            <w:tcW w:type="dxa" w:w="2721"/>
            <w:tcBorders>
              <w:top w:val="single" w:sz="4" w:color="BFBFBF"/>
              <w:left w:val="single" w:sz="4" w:color="BFBFBF"/>
              <w:bottom w:val="single" w:sz="4" w:color="BFBFBF"/>
              <w:right w:val="single" w:sz="4" w:color="BFBFBF"/>
            </w:tcBorders>
          </w:tcPr>
          <w:p>
            <w:pPr>
              <w:spacing w:after="40" w:line="240" w:lineRule="auto"/>
            </w:pPr>
            <w:r/>
            <w:r>
              <w:rPr>
                <w:sz w:val="18"/>
              </w:rPr>
              <w:t>_codigo, _notas, _supuestos_a_confirmar</w:t>
            </w:r>
          </w:p>
        </w:tc>
        <w:tc>
          <w:tcPr>
            <w:tcW w:type="dxa" w:w="1247"/>
            <w:tcBorders>
              <w:top w:val="single" w:sz="4" w:color="BFBFBF"/>
              <w:left w:val="single" w:sz="4" w:color="BFBFBF"/>
              <w:bottom w:val="single" w:sz="4" w:color="BFBFBF"/>
              <w:right w:val="single" w:sz="4" w:color="BFBFBF"/>
            </w:tcBorders>
          </w:tcPr>
          <w:p>
            <w:pPr>
              <w:spacing w:after="40" w:line="240" w:lineRule="auto"/>
            </w:pPr>
            <w:r/>
            <w:r>
              <w:rPr>
                <w:sz w:val="18"/>
              </w:rPr>
              <w:t>No</w:t>
            </w:r>
          </w:p>
        </w:tc>
        <w:tc>
          <w:tcPr>
            <w:tcW w:type="dxa" w:w="5216"/>
            <w:tcBorders>
              <w:top w:val="single" w:sz="4" w:color="BFBFBF"/>
              <w:left w:val="single" w:sz="4" w:color="BFBFBF"/>
              <w:bottom w:val="single" w:sz="4" w:color="BFBFBF"/>
              <w:right w:val="single" w:sz="4" w:color="BFBFBF"/>
            </w:tcBorders>
          </w:tcPr>
          <w:p>
            <w:pPr>
              <w:spacing w:after="40" w:line="240" w:lineRule="auto"/>
            </w:pPr>
            <w:r/>
            <w:r>
              <w:rPr>
                <w:sz w:val="18"/>
              </w:rPr>
              <w:t>Campos con guion bajo: documentación interna, el pipeline los ignora.</w:t>
            </w:r>
          </w:p>
        </w:tc>
      </w:tr>
    </w:tbl>
    <w:p>
      <w:pPr>
        <w:spacing w:after="80"/>
      </w:pPr>
    </w:p>
    <w:p>
      <w:pPr>
        <w:pStyle w:val="Heading2"/>
      </w:pPr>
      <w:r>
        <w:t>4.3 Fórmula de encuadre (cover con zoom y foco)</w:t>
      </w:r>
    </w:p>
    <w:p>
      <w:r>
        <w:rPr>
          <w:b w:val="0"/>
        </w:rPr>
        <w:t>Dada una foto de nw×nh px y un lienzo de cw×ch px:</w:t>
      </w:r>
    </w:p>
    <w:p>
      <w:pPr>
        <w:spacing w:after="40" w:line="240" w:lineRule="auto"/>
        <w:ind w:left="340"/>
      </w:pPr>
      <w:r>
        <w:rPr>
          <w:rFonts w:ascii="Consolas" w:hAnsi="Consolas"/>
          <w:sz w:val="18"/>
        </w:rPr>
        <w:t>escala = max(cw / nw, ch / nh) × zoom</w:t>
      </w:r>
    </w:p>
    <w:p>
      <w:pPr>
        <w:spacing w:after="40" w:line="240" w:lineRule="auto"/>
        <w:ind w:left="340"/>
      </w:pPr>
      <w:r>
        <w:rPr>
          <w:rFonts w:ascii="Consolas" w:hAnsi="Consolas"/>
          <w:sz w:val="18"/>
        </w:rPr>
        <w:t>sw, sh = nw × escala, nh × escala</w:t>
      </w:r>
    </w:p>
    <w:p>
      <w:pPr>
        <w:spacing w:after="40" w:line="240" w:lineRule="auto"/>
        <w:ind w:left="340"/>
      </w:pPr>
      <w:r>
        <w:rPr>
          <w:rFonts w:ascii="Consolas" w:hAnsi="Consolas"/>
          <w:sz w:val="18"/>
        </w:rPr>
        <w:t>tx = cw × fx_destino − sw × fx</w:t>
      </w:r>
    </w:p>
    <w:p>
      <w:pPr>
        <w:spacing w:after="40" w:line="240" w:lineRule="auto"/>
        <w:ind w:left="340"/>
      </w:pPr>
      <w:r>
        <w:rPr>
          <w:rFonts w:ascii="Consolas" w:hAnsi="Consolas"/>
          <w:sz w:val="18"/>
        </w:rPr>
        <w:t>ty = ch × fy_destino − sh × fy</w:t>
      </w:r>
    </w:p>
    <w:p>
      <w:pPr>
        <w:spacing w:after="40" w:line="240" w:lineRule="auto"/>
        <w:ind w:left="340"/>
      </w:pPr>
      <w:r>
        <w:rPr>
          <w:rFonts w:ascii="Consolas" w:hAnsi="Consolas"/>
          <w:sz w:val="18"/>
        </w:rPr>
        <w:t>tx = min(0, max(cw − sw, tx))    ← recorte, nunca deja huecos</w:t>
      </w:r>
    </w:p>
    <w:p>
      <w:pPr>
        <w:spacing w:after="40" w:line="240" w:lineRule="auto"/>
        <w:ind w:left="340"/>
      </w:pPr>
      <w:r>
        <w:rPr>
          <w:rFonts w:ascii="Consolas" w:hAnsi="Consolas"/>
          <w:sz w:val="18"/>
        </w:rPr>
        <w:t>ty = min(0, max(ch − sh, ty))</w:t>
      </w:r>
    </w:p>
    <w:p>
      <w:r>
        <w:rPr>
          <w:b w:val="0"/>
        </w:rPr>
      </w:r>
    </w:p>
    <w:p>
      <w:r>
        <w:rPr>
          <w:b w:val="0"/>
        </w:rPr>
        <w:t>fx y fy son la fracción del punto de la FOTO que se usa como referencia; fx_destino y fy_destino, la fracción del LIENZO donde debe caer ese punto.</w:t>
      </w:r>
    </w:p>
    <w:p>
      <w:r>
        <w:rPr>
          <w:b w:val="0"/>
        </w:rPr>
        <w:t>Consecuencia práctica: si fx es el centro horizontal de la cabeza, entonces fx_destino es directamente la posición de la cabeza en el lienzo dividida por su ancho. Eso permite apuntar a la silueta sin tanteo.</w:t>
      </w:r>
    </w:p>
    <w:p>
      <w:r>
        <w:rPr>
          <w:b w:val="0"/>
        </w:rPr>
        <w:t>Los dos clamps son la razón de RN-20: para llevar la cabeza a la silueta hay que correr la foto a la derecha, y eso exige ancho sobrante. Si no sobra, el clamp deja tx en 0 y la cabeza se queda contra el borde.</w:t>
      </w:r>
    </w:p>
    <w:p>
      <w:pPr>
        <w:pStyle w:val="Heading2"/>
      </w:pPr>
      <w:r>
        <w:t>4.4 El solver de encuadre</w:t>
      </w:r>
    </w:p>
    <w:p>
      <w:pPr>
        <w:spacing w:after="40" w:line="240" w:lineRule="auto"/>
        <w:ind w:left="340"/>
      </w:pPr>
      <w:r>
        <w:rPr>
          <w:rFonts w:ascii="Consolas" w:hAnsi="Consolas"/>
          <w:sz w:val="18"/>
        </w:rPr>
        <w:t>00-Scripts\solver_encuadre.py</w:t>
      </w:r>
    </w:p>
    <w:p>
      <w:r>
        <w:rPr>
          <w:b w:val="0"/>
        </w:rPr>
        <w:t>Recorre las combinaciones de expansión, replica la aritmética exacta de capa_fotos_ipg.py —incluidos los int() de cada expansión, que redondean hacia abajo y corren el resultado varios píxeles— y se queda con la que cumple las restricciones:</w:t>
      </w:r>
    </w:p>
    <w:tbl>
      <w:tblPr>
        <w:tblW w:type="auto" w:w="0"/>
        <w:jc w:val="center"/>
        <w:tblLook w:firstColumn="1" w:firstRow="1" w:lastColumn="0" w:lastRow="0" w:noHBand="0" w:noVBand="1" w:val="04A0"/>
      </w:tblPr>
      <w:tblGrid>
        <w:gridCol w:w="3249"/>
        <w:gridCol w:w="3249"/>
        <w:gridCol w:w="3249"/>
      </w:tblGrid>
      <w:tr>
        <w:tc>
          <w:tcPr>
            <w:tcW w:type="dxa" w:w="4082"/>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Restricción</w:t>
            </w:r>
          </w:p>
        </w:tc>
        <w:tc>
          <w:tcPr>
            <w:tcW w:type="dxa" w:w="249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Post 1080×1080</w:t>
            </w:r>
          </w:p>
        </w:tc>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Story 1080×1920</w:t>
            </w:r>
          </w:p>
        </w:tc>
      </w:tr>
      <w:tr>
        <w:tc>
          <w:tcPr>
            <w:tcW w:type="dxa" w:w="4082"/>
            <w:tcBorders>
              <w:top w:val="single" w:sz="4" w:color="BFBFBF"/>
              <w:left w:val="single" w:sz="4" w:color="BFBFBF"/>
              <w:bottom w:val="single" w:sz="4" w:color="BFBFBF"/>
              <w:right w:val="single" w:sz="4" w:color="BFBFBF"/>
            </w:tcBorders>
          </w:tcPr>
          <w:p>
            <w:pPr>
              <w:spacing w:after="40" w:line="240" w:lineRule="auto"/>
            </w:pPr>
            <w:r/>
            <w:r>
              <w:rPr>
                <w:sz w:val="18"/>
              </w:rPr>
              <w:t>Tope del pelo o del casco, bajo la zona de logo</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y ≥ 205</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y ≥ 300</w:t>
            </w:r>
          </w:p>
        </w:tc>
      </w:tr>
      <w:tr>
        <w:tc>
          <w:tcPr>
            <w:tcW w:type="dxa" w:w="4082"/>
            <w:tcBorders>
              <w:top w:val="single" w:sz="4" w:color="BFBFBF"/>
              <w:left w:val="single" w:sz="4" w:color="BFBFBF"/>
              <w:bottom w:val="single" w:sz="4" w:color="BFBFBF"/>
              <w:right w:val="single" w:sz="4" w:color="BFBFBF"/>
            </w:tcBorders>
          </w:tcPr>
          <w:p>
            <w:pPr>
              <w:spacing w:after="40" w:line="240" w:lineRule="auto"/>
            </w:pPr>
            <w:r/>
            <w:r>
              <w:rPr>
                <w:sz w:val="18"/>
              </w:rPr>
              <w:t>Mentón, con aire suficiente bajo el título (RN-26)</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título − 70</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título − 90</w:t>
            </w:r>
          </w:p>
        </w:tc>
      </w:tr>
      <w:tr>
        <w:tc>
          <w:tcPr>
            <w:tcW w:type="dxa" w:w="4082"/>
            <w:tcBorders>
              <w:top w:val="single" w:sz="4" w:color="BFBFBF"/>
              <w:left w:val="single" w:sz="4" w:color="BFBFBF"/>
              <w:bottom w:val="single" w:sz="4" w:color="BFBFBF"/>
              <w:right w:val="single" w:sz="4" w:color="BFBFBF"/>
            </w:tcBorders>
          </w:tcPr>
          <w:p>
            <w:pPr>
              <w:spacing w:after="40" w:line="240" w:lineRule="auto"/>
            </w:pPr>
            <w:r/>
            <w:r>
              <w:rPr>
                <w:sz w:val="18"/>
              </w:rPr>
              <w:t>Ídem cuando el título va a dos líneas</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título − 50</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título − 70</w:t>
            </w:r>
          </w:p>
        </w:tc>
      </w:tr>
      <w:tr>
        <w:tc>
          <w:tcPr>
            <w:tcW w:type="dxa" w:w="4082"/>
            <w:tcBorders>
              <w:top w:val="single" w:sz="4" w:color="BFBFBF"/>
              <w:left w:val="single" w:sz="4" w:color="BFBFBF"/>
              <w:bottom w:val="single" w:sz="4" w:color="BFBFBF"/>
              <w:right w:val="single" w:sz="4" w:color="BFBFBF"/>
            </w:tcBorders>
          </w:tcPr>
          <w:p>
            <w:pPr>
              <w:spacing w:after="40" w:line="240" w:lineRule="auto"/>
            </w:pPr>
            <w:r/>
            <w:r>
              <w:rPr>
                <w:sz w:val="18"/>
              </w:rPr>
              <w:t>Cabeza dentro de la silueta (RN-18)</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x 600–960</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x 445–1015</w:t>
            </w:r>
          </w:p>
        </w:tc>
      </w:tr>
      <w:tr>
        <w:tc>
          <w:tcPr>
            <w:tcW w:type="dxa" w:w="4082"/>
            <w:tcBorders>
              <w:top w:val="single" w:sz="4" w:color="BFBFBF"/>
              <w:left w:val="single" w:sz="4" w:color="BFBFBF"/>
              <w:bottom w:val="single" w:sz="4" w:color="BFBFBF"/>
              <w:right w:val="single" w:sz="4" w:color="BFBFBF"/>
            </w:tcBorders>
          </w:tcPr>
          <w:p>
            <w:pPr>
              <w:spacing w:after="40" w:line="240" w:lineRule="auto"/>
            </w:pPr>
            <w:r/>
            <w:r>
              <w:rPr>
                <w:sz w:val="18"/>
              </w:rPr>
              <w:t>Tamaño de la foto expandida (RN-27)</w:t>
            </w:r>
          </w:p>
        </w:tc>
        <w:tc>
          <w:tcPr>
            <w:tcW w:type="dxa" w:w="2494"/>
            <w:tcBorders>
              <w:top w:val="single" w:sz="4" w:color="BFBFBF"/>
              <w:left w:val="single" w:sz="4" w:color="BFBFBF"/>
              <w:bottom w:val="single" w:sz="4" w:color="BFBFBF"/>
              <w:right w:val="single" w:sz="4" w:color="BFBFBF"/>
            </w:tcBorders>
          </w:tcPr>
          <w:p>
            <w:pPr>
              <w:spacing w:after="40" w:line="240" w:lineRule="auto"/>
            </w:pPr>
            <w:r/>
            <w:r>
              <w:rPr>
                <w:sz w:val="18"/>
              </w:rPr>
              <w:t>≤ 180 MP</w:t>
            </w:r>
          </w:p>
        </w:tc>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 180 MP</w:t>
            </w:r>
          </w:p>
        </w:tc>
      </w:tr>
    </w:tbl>
    <w:p>
      <w:pPr>
        <w:spacing w:after="80"/>
      </w:pPr>
    </w:p>
    <w:p>
      <w:r>
        <w:rPr>
          <w:b w:val="0"/>
        </w:rPr>
        <w:t>El orden de preferencia es explícito y no trivial: primero centra la cabeza en la silueta, y sólo entre los encuadres centrados maximiza la escala. Maximizar la escala a secas admite soluciones donde la cara apenas entra por el borde izquierdo de la caja, válidas pero descentradas.</w:t>
      </w:r>
    </w:p>
    <w:p>
      <w:r>
        <w:rPr>
          <w:b w:val="0"/>
        </w:rPr>
        <w:t>Si no hay solución, el solver lo dice en vez de entregar un encuadre que viole una zona. Eso convierte a RN-03 y RN-04 en garantías y no en recomendaciones — y es lo que detecta las fotografías que no sirven.</w:t>
      </w:r>
    </w:p>
    <w:p>
      <w:pPr>
        <w:pStyle w:val="Heading2"/>
      </w:pPr>
      <w:r>
        <w:t>4.5 El techo del mentón se mide, no se estima</w:t>
      </w:r>
    </w:p>
    <w:p>
      <w:pPr>
        <w:spacing w:after="40" w:line="240" w:lineRule="auto"/>
        <w:ind w:left="340"/>
      </w:pPr>
      <w:r>
        <w:rPr>
          <w:rFonts w:ascii="Consolas" w:hAnsi="Consolas"/>
          <w:sz w:val="18"/>
        </w:rPr>
        <w:t>00-Scripts\medir_titulo.py</w:t>
      </w:r>
    </w:p>
    <w:p>
      <w:r>
        <w:rPr>
          <w:b w:val="0"/>
        </w:rPr>
        <w:t>El techo depende del largo del nombre: si no cabe en una línea, el generador parte el título y sube el bloque una interlínea calculada sobre el cuerpo ya autoajustado, que también varía.</w:t>
      </w:r>
    </w:p>
    <w:p>
      <w:r>
        <w:rPr>
          <w:b w:val="0"/>
        </w:rPr>
        <w:t>El script renderiza cada pieza SIN foto —el fondo es la plancha gris #606060 de la plantilla, así que el texto blanco se separa sin ambigüedad— y busca el primer píxel del título. En la práctica sólo da dos valores por formato:</w:t>
      </w:r>
    </w:p>
    <w:tbl>
      <w:tblPr>
        <w:tblW w:type="auto" w:w="0"/>
        <w:jc w:val="center"/>
        <w:tblLook w:firstColumn="1" w:firstRow="1" w:lastColumn="0" w:lastRow="0" w:noHBand="0" w:noVBand="1" w:val="04A0"/>
      </w:tblPr>
      <w:tblGrid>
        <w:gridCol w:w="3249"/>
        <w:gridCol w:w="3249"/>
        <w:gridCol w:w="3249"/>
      </w:tblGrid>
      <w:tr>
        <w:tc>
          <w:tcPr>
            <w:tcW w:type="dxa" w:w="453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Caso</w:t>
            </w:r>
          </w:p>
        </w:tc>
        <w:tc>
          <w:tcPr>
            <w:tcW w:type="dxa" w:w="226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Título en Post</w:t>
            </w:r>
          </w:p>
        </w:tc>
        <w:tc>
          <w:tcPr>
            <w:tcW w:type="dxa" w:w="238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Título en Story</w:t>
            </w:r>
          </w:p>
        </w:tc>
      </w:tr>
      <w:tr>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Nombre que entra en una línea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y 465</w:t>
            </w:r>
          </w:p>
        </w:tc>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y 763</w:t>
            </w:r>
          </w:p>
        </w:tc>
      </w:tr>
      <w:tr>
        <w:tc>
          <w:tcPr>
            <w:tcW w:type="dxa" w:w="4535"/>
            <w:tcBorders>
              <w:top w:val="single" w:sz="4" w:color="BFBFBF"/>
              <w:left w:val="single" w:sz="4" w:color="BFBFBF"/>
              <w:bottom w:val="single" w:sz="4" w:color="BFBFBF"/>
              <w:right w:val="single" w:sz="4" w:color="BFBFBF"/>
            </w:tcBorders>
          </w:tcPr>
          <w:p>
            <w:pPr>
              <w:spacing w:after="40" w:line="240" w:lineRule="auto"/>
            </w:pPr>
            <w:r/>
            <w:r>
              <w:rPr>
                <w:sz w:val="18"/>
              </w:rPr>
              <w:t>Nombre que se parte en dos líneas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y 391</w:t>
            </w:r>
          </w:p>
        </w:tc>
        <w:tc>
          <w:tcPr>
            <w:tcW w:type="dxa" w:w="2381"/>
            <w:tcBorders>
              <w:top w:val="single" w:sz="4" w:color="BFBFBF"/>
              <w:left w:val="single" w:sz="4" w:color="BFBFBF"/>
              <w:bottom w:val="single" w:sz="4" w:color="BFBFBF"/>
              <w:right w:val="single" w:sz="4" w:color="BFBFBF"/>
            </w:tcBorders>
          </w:tcPr>
          <w:p>
            <w:pPr>
              <w:spacing w:after="40" w:line="240" w:lineRule="auto"/>
            </w:pPr>
            <w:r/>
            <w:r>
              <w:rPr>
                <w:sz w:val="18"/>
              </w:rPr>
              <w:t>y 678 – 692</w:t>
            </w:r>
          </w:p>
        </w:tc>
      </w:tr>
    </w:tbl>
    <w:p>
      <w:pPr>
        <w:spacing w:after="80"/>
      </w:pPr>
    </w:p>
    <w:p>
      <w:pPr>
        <w:pStyle w:val="Heading2"/>
      </w:pPr>
      <w:r>
        <w:t>4.6 La regla del 0,30 — el criterio al elegir la fotografía</w:t>
      </w:r>
    </w:p>
    <w:p>
      <w:r>
        <w:rPr>
          <w:b/>
          <w:color w:val="B02A2A"/>
        </w:rPr>
        <w:t>Es la regla que más cuesta aprender y la que más descargas cuesta ignorar.</w:t>
      </w:r>
    </w:p>
    <w:p>
      <w:r>
        <w:rPr>
          <w:b w:val="0"/>
        </w:rPr>
        <w:t>En el Post la ventana vertical útil va del borde inferior de la zona de logo (205) al techo del mentón (395 con título de una línea): 190 px sobre un lienzo de 1080. Como la foto se escala para cubrir el lienzo, el rostro ocupa en el lienzo la misma fracción del alto que ocupaba en la foto, dividida por la expansión vertical que se aplique.</w:t>
      </w:r>
    </w:p>
    <w:p>
      <w:pPr>
        <w:spacing w:after="40" w:line="240" w:lineRule="auto"/>
        <w:ind w:left="340"/>
      </w:pPr>
      <w:r>
        <w:rPr>
          <w:rFonts w:ascii="Consolas" w:hAnsi="Consolas"/>
          <w:sz w:val="18"/>
        </w:rPr>
        <w:t>expansión necesaria  ≥  fracción_del_rostro × 1080 / 190</w:t>
      </w:r>
    </w:p>
    <w:p>
      <w:r>
        <w:rPr>
          <w:b w:val="0"/>
        </w:rPr>
        <w:t>Con un rostro al 20 % del alto basta una expansión de 1,14. Al 30 % hace falta 1,71. Al 40 % hace falta 2,27 — la foto tendría que más que duplicar su alto en relleno difuminado, y en general el tope de 180 MP o la restricción del pelo lo impiden antes.</w:t>
      </w:r>
    </w:p>
    <w:p>
      <w:r>
        <w:rPr>
          <w:b w:val="0"/>
        </w:rPr>
        <w:t>En la práctica: si el rostro pasa de ~30 % del alto, la foto no sirve. Es un primer plano, y además viola RN-12, que pide plano de medio cuerpo.</w:t>
      </w:r>
    </w:p>
    <w:p>
      <w:r>
        <w:rPr>
          <w:b/>
        </w:rPr>
        <w:t>Costó seis fotografías a lo largo del proyecto</w:t>
      </w:r>
    </w:p>
    <w:tbl>
      <w:tblPr>
        <w:tblW w:type="auto" w:w="0"/>
        <w:jc w:val="center"/>
        <w:tblLook w:firstColumn="1" w:firstRow="1" w:lastColumn="0" w:lastRow="0" w:noHBand="0" w:noVBand="1" w:val="04A0"/>
      </w:tblPr>
      <w:tblGrid>
        <w:gridCol w:w="3249"/>
        <w:gridCol w:w="3249"/>
        <w:gridCol w:w="3249"/>
      </w:tblGrid>
      <w:tr>
        <w:tc>
          <w:tcPr>
            <w:tcW w:type="dxa" w:w="3402"/>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Foto</w:t>
            </w:r>
          </w:p>
        </w:tc>
        <w:tc>
          <w:tcPr>
            <w:tcW w:type="dxa" w:w="192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Escuela</w:t>
            </w:r>
          </w:p>
        </w:tc>
        <w:tc>
          <w:tcPr>
            <w:tcW w:type="dxa" w:w="385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Por qué falló</w:t>
            </w:r>
          </w:p>
        </w:tc>
      </w:tr>
      <w:tr>
        <w:tc>
          <w:tcPr>
            <w:tcW w:type="dxa" w:w="3402"/>
            <w:tcBorders>
              <w:top w:val="single" w:sz="4" w:color="BFBFBF"/>
              <w:left w:val="single" w:sz="4" w:color="BFBFBF"/>
              <w:bottom w:val="single" w:sz="4" w:color="BFBFBF"/>
              <w:right w:val="single" w:sz="4" w:color="BFBFBF"/>
            </w:tcBorders>
          </w:tcPr>
          <w:p>
            <w:pPr>
              <w:spacing w:after="40" w:line="240" w:lineRule="auto"/>
            </w:pPr>
            <w:r/>
            <w:r>
              <w:rPr>
                <w:sz w:val="18"/>
              </w:rPr>
              <w:t>Educación Parvularia (la del piloto)</w:t>
            </w:r>
          </w:p>
        </w:tc>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Educación</w:t>
            </w:r>
          </w:p>
        </w:tc>
        <w:tc>
          <w:tcPr>
            <w:tcW w:type="dxa" w:w="3855"/>
            <w:tcBorders>
              <w:top w:val="single" w:sz="4" w:color="BFBFBF"/>
              <w:left w:val="single" w:sz="4" w:color="BFBFBF"/>
              <w:bottom w:val="single" w:sz="4" w:color="BFBFBF"/>
              <w:right w:val="single" w:sz="4" w:color="BFBFBF"/>
            </w:tcBorders>
          </w:tcPr>
          <w:p>
            <w:pPr>
              <w:spacing w:after="40" w:line="240" w:lineRule="auto"/>
            </w:pPr>
            <w:r/>
            <w:r>
              <w:rPr>
                <w:sz w:val="18"/>
              </w:rPr>
              <w:t>Rostro al 28,5 % de una foto vertical: sin solución en Post</w:t>
            </w:r>
          </w:p>
        </w:tc>
      </w:tr>
      <w:tr>
        <w:tc>
          <w:tcPr>
            <w:tcW w:type="dxa" w:w="3402"/>
            <w:tcBorders>
              <w:top w:val="single" w:sz="4" w:color="BFBFBF"/>
              <w:left w:val="single" w:sz="4" w:color="BFBFBF"/>
              <w:bottom w:val="single" w:sz="4" w:color="BFBFBF"/>
              <w:right w:val="single" w:sz="4" w:color="BFBFBF"/>
            </w:tcBorders>
          </w:tcPr>
          <w:p>
            <w:pPr>
              <w:spacing w:after="40" w:line="240" w:lineRule="auto"/>
            </w:pPr>
            <w:r/>
            <w:r>
              <w:rPr>
                <w:sz w:val="18"/>
              </w:rPr>
              <w:t>Dos fotos de puerto</w:t>
            </w:r>
          </w:p>
        </w:tc>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Gestión</w:t>
            </w:r>
          </w:p>
        </w:tc>
        <w:tc>
          <w:tcPr>
            <w:tcW w:type="dxa" w:w="3855"/>
            <w:tcBorders>
              <w:top w:val="single" w:sz="4" w:color="BFBFBF"/>
              <w:left w:val="single" w:sz="4" w:color="BFBFBF"/>
              <w:bottom w:val="single" w:sz="4" w:color="BFBFBF"/>
              <w:right w:val="single" w:sz="4" w:color="BFBFBF"/>
            </w:tcBorders>
          </w:tcPr>
          <w:p>
            <w:pPr>
              <w:spacing w:after="40" w:line="240" w:lineRule="auto"/>
            </w:pPr>
            <w:r/>
            <w:r>
              <w:rPr>
                <w:sz w:val="18"/>
              </w:rPr>
              <w:t>Rostro al 57 % del alto — primeros planos</w:t>
            </w:r>
          </w:p>
        </w:tc>
      </w:tr>
      <w:tr>
        <w:tc>
          <w:tcPr>
            <w:tcW w:type="dxa" w:w="3402"/>
            <w:tcBorders>
              <w:top w:val="single" w:sz="4" w:color="BFBFBF"/>
              <w:left w:val="single" w:sz="4" w:color="BFBFBF"/>
              <w:bottom w:val="single" w:sz="4" w:color="BFBFBF"/>
              <w:right w:val="single" w:sz="4" w:color="BFBFBF"/>
            </w:tcBorders>
          </w:tcPr>
          <w:p>
            <w:pPr>
              <w:spacing w:after="40" w:line="240" w:lineRule="auto"/>
            </w:pPr>
            <w:r/>
            <w:r>
              <w:rPr>
                <w:sz w:val="18"/>
              </w:rPr>
              <w:t>Construcción Civil, Gestión de Seguridad, Programación, IA</w:t>
            </w:r>
          </w:p>
        </w:tc>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Ingeniería</w:t>
            </w:r>
          </w:p>
        </w:tc>
        <w:tc>
          <w:tcPr>
            <w:tcW w:type="dxa" w:w="3855"/>
            <w:tcBorders>
              <w:top w:val="single" w:sz="4" w:color="BFBFBF"/>
              <w:left w:val="single" w:sz="4" w:color="BFBFBF"/>
              <w:bottom w:val="single" w:sz="4" w:color="BFBFBF"/>
              <w:right w:val="single" w:sz="4" w:color="BFBFBF"/>
            </w:tcBorders>
          </w:tcPr>
          <w:p>
            <w:pPr>
              <w:spacing w:after="40" w:line="240" w:lineRule="auto"/>
            </w:pPr>
            <w:r/>
            <w:r>
              <w:rPr>
                <w:sz w:val="18"/>
              </w:rPr>
              <w:t>Rostro entre 33 % y 50 %: cuatro SIN SOLUCIÓN</w:t>
            </w:r>
          </w:p>
        </w:tc>
      </w:tr>
    </w:tbl>
    <w:p>
      <w:pPr>
        <w:spacing w:after="80"/>
      </w:pPr>
    </w:p>
    <w:p>
      <w:pPr>
        <w:pStyle w:val="Heading2"/>
      </w:pPr>
      <w:r>
        <w:t>4.7 Las medidas del rostro también se miden</w:t>
      </w:r>
    </w:p>
    <w:p>
      <w:pPr>
        <w:spacing w:after="40" w:line="240" w:lineRule="auto"/>
        <w:ind w:left="340"/>
      </w:pPr>
      <w:r>
        <w:rPr>
          <w:rFonts w:ascii="Consolas" w:hAnsi="Consolas"/>
          <w:sz w:val="18"/>
        </w:rPr>
        <w:t>00-Scripts\grilla_fina.py</w:t>
      </w:r>
    </w:p>
    <w:p>
      <w:r>
        <w:rPr>
          <w:b w:val="0"/>
        </w:rPr>
        <w:t>Dibuja centésimas del alto sobre un recorte ampliado de la zona del rostro. Ahí se leen los tres puntos que necesita el solver: tope del pelo —o del casco, cuando lo hay, porque es lo que no puede entrar en la zona de logo—, mentón y centro horizontal de la cabeza.</w:t>
      </w:r>
    </w:p>
    <w:p>
      <w:r>
        <w:rPr>
          <w:b w:val="0"/>
        </w:rPr>
        <w:t>No sirve estimarlos sobre una miniatura: las seis fotos de Salud se midieron primero sobre miniaturas de 560px y las seis quedaron mal (RN-25). Enfermería es el caso extremo: tenía anotado mentón 0,13 cuando el real es 0,30 — unos 1.300px de diferencia sobre una foto de 7.787px de alto.</w:t>
      </w:r>
    </w:p>
    <w:p>
      <w:pPr>
        <w:pStyle w:val="Heading1"/>
      </w:pPr>
      <w:r>
        <w:t>5. Procedimiento — generar una escuela completa</w:t>
      </w:r>
    </w:p>
    <w:p>
      <w:pPr>
        <w:pStyle w:val="Heading2"/>
      </w:pPr>
      <w:r>
        <w:t>5.0 Entorno (una sola vez por máquina)</w:t>
      </w:r>
    </w:p>
    <w:p>
      <w:pPr>
        <w:pStyle w:val="ListBullet"/>
        <w:spacing w:after="60"/>
      </w:pPr>
      <w:r>
        <w:t>Python 3.12 con fonttools, Pillow, openpyxl y python-docx.</w:t>
      </w:r>
    </w:p>
    <w:p>
      <w:pPr>
        <w:pStyle w:val="ListBullet"/>
        <w:spacing w:after="60"/>
      </w:pPr>
      <w:r>
        <w:t>Inkscape 1.4.4 o superior.</w:t>
      </w:r>
    </w:p>
    <w:p>
      <w:pPr>
        <w:pStyle w:val="ListBullet"/>
        <w:spacing w:after="60"/>
      </w:pPr>
      <w:r>
        <w:t>Fuentes Montserrat Black y Medium instaladas.</w:t>
      </w:r>
    </w:p>
    <w:p>
      <w:pPr>
        <w:pStyle w:val="ListBullet"/>
        <w:spacing w:after="60"/>
      </w:pPr>
      <w:r>
        <w:t>Sesión iniciada en una cuenta Shutterstock con plan activo.</w:t>
      </w:r>
    </w:p>
    <w:p>
      <w:r>
        <w:rPr>
          <w:b/>
          <w:color w:val="B02A2A"/>
        </w:rPr>
        <w:t>Rutas que hay que cambiar al mover de máquina</w:t>
      </w:r>
    </w:p>
    <w:tbl>
      <w:tblPr>
        <w:tblW w:type="auto" w:w="0"/>
        <w:jc w:val="center"/>
        <w:tblLook w:firstColumn="1" w:firstRow="1" w:lastColumn="0" w:lastRow="0" w:noHBand="0" w:noVBand="1" w:val="04A0"/>
      </w:tblPr>
      <w:tblGrid>
        <w:gridCol w:w="3249"/>
        <w:gridCol w:w="3249"/>
        <w:gridCol w:w="3249"/>
      </w:tblGrid>
      <w:tr>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Archivo</w:t>
            </w:r>
          </w:p>
        </w:tc>
        <w:tc>
          <w:tcPr>
            <w:tcW w:type="dxa" w:w="2835"/>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Qué tiene fija</w:t>
            </w:r>
          </w:p>
        </w:tc>
        <w:tc>
          <w:tcPr>
            <w:tcW w:type="dxa" w:w="3742"/>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Valor actual</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generar_graficas_ipg.py</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Rutas de las fuentes Montserrat</w:t>
            </w:r>
          </w:p>
        </w:tc>
        <w:tc>
          <w:tcPr>
            <w:tcW w:type="dxa" w:w="3742"/>
            <w:tcBorders>
              <w:top w:val="single" w:sz="4" w:color="BFBFBF"/>
              <w:left w:val="single" w:sz="4" w:color="BFBFBF"/>
              <w:bottom w:val="single" w:sz="4" w:color="BFBFBF"/>
              <w:right w:val="single" w:sz="4" w:color="BFBFBF"/>
            </w:tcBorders>
          </w:tcPr>
          <w:p>
            <w:pPr>
              <w:spacing w:after="40" w:line="240" w:lineRule="auto"/>
            </w:pPr>
            <w:r/>
            <w:r>
              <w:rPr>
                <w:sz w:val="18"/>
              </w:rPr>
              <w:t>C:\Users\IPG\AppData\Local\Microsoft\Windows\Fonts\</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lote_graficas_ipg.py</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Ruta de Inkscape</w:t>
            </w:r>
          </w:p>
        </w:tc>
        <w:tc>
          <w:tcPr>
            <w:tcW w:type="dxa" w:w="3742"/>
            <w:tcBorders>
              <w:top w:val="single" w:sz="4" w:color="BFBFBF"/>
              <w:left w:val="single" w:sz="4" w:color="BFBFBF"/>
              <w:bottom w:val="single" w:sz="4" w:color="BFBFBF"/>
              <w:right w:val="single" w:sz="4" w:color="BFBFBF"/>
            </w:tcBorders>
          </w:tcPr>
          <w:p>
            <w:pPr>
              <w:spacing w:after="40" w:line="240" w:lineRule="auto"/>
            </w:pPr>
            <w:r/>
            <w:r>
              <w:rPr>
                <w:sz w:val="18"/>
              </w:rPr>
              <w:t>C:\Program Files\Inkscape\bin\inkscape.exe</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medir_titulo.py</w:t>
            </w:r>
          </w:p>
        </w:tc>
        <w:tc>
          <w:tcPr>
            <w:tcW w:type="dxa" w:w="2835"/>
            <w:tcBorders>
              <w:top w:val="single" w:sz="4" w:color="BFBFBF"/>
              <w:left w:val="single" w:sz="4" w:color="BFBFBF"/>
              <w:bottom w:val="single" w:sz="4" w:color="BFBFBF"/>
              <w:right w:val="single" w:sz="4" w:color="BFBFBF"/>
            </w:tcBorders>
          </w:tcPr>
          <w:p>
            <w:pPr>
              <w:spacing w:after="40" w:line="240" w:lineRule="auto"/>
            </w:pPr>
            <w:r/>
            <w:r>
              <w:rPr>
                <w:sz w:val="18"/>
              </w:rPr>
              <w:t>Ruta de Inkscape</w:t>
            </w:r>
          </w:p>
        </w:tc>
        <w:tc>
          <w:tcPr>
            <w:tcW w:type="dxa" w:w="3742"/>
            <w:tcBorders>
              <w:top w:val="single" w:sz="4" w:color="BFBFBF"/>
              <w:left w:val="single" w:sz="4" w:color="BFBFBF"/>
              <w:bottom w:val="single" w:sz="4" w:color="BFBFBF"/>
              <w:right w:val="single" w:sz="4" w:color="BFBFBF"/>
            </w:tcBorders>
          </w:tcPr>
          <w:p>
            <w:pPr>
              <w:spacing w:after="40" w:line="240" w:lineRule="auto"/>
            </w:pPr>
            <w:r/>
            <w:r>
              <w:rPr>
                <w:sz w:val="18"/>
              </w:rPr>
              <w:t>ídem</w:t>
            </w:r>
          </w:p>
        </w:tc>
      </w:tr>
    </w:tbl>
    <w:p>
      <w:pPr>
        <w:spacing w:after="80"/>
      </w:pPr>
    </w:p>
    <w:p>
      <w:r>
        <w:rPr>
          <w:b w:val="0"/>
          <w:color w:val="555555"/>
          <w:sz w:val="19"/>
        </w:rPr>
        <w:t>Los demás scripts resuelven sus rutas a partir de su propia ubicación, así que basta mover la carpeta completa.</w:t>
      </w:r>
    </w:p>
    <w:p>
      <w:pPr>
        <w:pStyle w:val="Heading2"/>
      </w:pPr>
      <w:r>
        <w:t>5.1 Armar el JSON de escuela</w:t>
      </w:r>
    </w:p>
    <w:p>
      <w:r>
        <w:rPr>
          <w:b w:val="0"/>
        </w:rPr>
        <w:t>Leer las hojas «OA Presencial» y «OA Online 27» del Excel y escribir 02-Datos\escuela-&lt;x&gt;.json con una entrada por carrera + sede. Aplicar RN-14, RN-15, RN-16, RN-29, RN-30 y RN-31. Anotar en «_supuestos_a_confirmar» todo nombre de marketing que se haya reescrito.</w:t>
      </w:r>
    </w:p>
    <w:p>
      <w:pPr>
        <w:pStyle w:val="Heading2"/>
      </w:pPr>
      <w:r>
        <w:t>5.2 Conseguir una fotografía por carrera</w:t>
      </w:r>
    </w:p>
    <w:p>
      <w:pPr>
        <w:pStyle w:val="ListBullet"/>
        <w:spacing w:after="60"/>
      </w:pPr>
      <w:r>
        <w:t>Buscar en Shutterstock con términos de la carrera más «retrato» y pose cintura-arriba, con los filtros de §3.4.</w:t>
      </w:r>
    </w:p>
    <w:p>
      <w:pPr>
        <w:pStyle w:val="ListBullet"/>
        <w:spacing w:after="60"/>
      </w:pPr>
      <w:r>
        <w:t>Extraer del listado los identificadores y las URL de miniatura, bajar las miniaturas y montarlas en una hoja de contacto. Elegir sobre esa hoja, no abriendo fichas una por una.</w:t>
      </w:r>
    </w:p>
    <w:p>
      <w:pPr>
        <w:pStyle w:val="ListBullet"/>
        <w:spacing w:after="60"/>
      </w:pPr>
      <w:r>
        <w:t>Verificar contra RN-06, RN-07, RN-12, RN-22 y sobre todo RN-28 —la regla del 0,30— antes de descargar.</w:t>
      </w:r>
    </w:p>
    <w:p>
      <w:pPr>
        <w:pStyle w:val="ListBullet"/>
        <w:spacing w:after="60"/>
      </w:pPr>
      <w:r>
        <w:t>Descargar todas seguidas y recogerlas después en orden:</w:t>
      </w:r>
    </w:p>
    <w:p>
      <w:pPr>
        <w:spacing w:after="40" w:line="240" w:lineRule="auto"/>
        <w:ind w:left="340"/>
      </w:pPr>
      <w:r>
        <w:rPr>
          <w:rFonts w:ascii="Consolas" w:hAnsi="Consolas"/>
          <w:sz w:val="18"/>
        </w:rPr>
        <w:t>python 00-Scripts\recoger_descargas.py "&lt;Escuela&gt;" Carrera1 Carrera2 ...</w:t>
      </w:r>
    </w:p>
    <w:p>
      <w:pPr>
        <w:pStyle w:val="Heading2"/>
      </w:pPr>
      <w:r>
        <w:t>5.3 Medir</w:t>
      </w:r>
    </w:p>
    <w:p>
      <w:r>
        <w:rPr>
          <w:b w:val="0"/>
        </w:rPr>
        <w:t>Este es el paso donde se juega el resultado. Las dos mediciones son independientes y ambas son obligatorias.</w:t>
      </w:r>
    </w:p>
    <w:p>
      <w:pPr>
        <w:spacing w:after="40" w:line="240" w:lineRule="auto"/>
        <w:ind w:left="340"/>
      </w:pPr>
      <w:r>
        <w:rPr>
          <w:rFonts w:ascii="Consolas" w:hAnsi="Consolas"/>
          <w:sz w:val="18"/>
        </w:rPr>
        <w:t>python 00-Scripts\grilla_fina.py "&lt;Escuela&gt;" &lt;Carrera&gt; salida.jpg 0.0 0.55</w:t>
      </w:r>
    </w:p>
    <w:p>
      <w:r>
        <w:rPr>
          <w:b w:val="0"/>
        </w:rPr>
        <w:t>Abrir la imagen resultante y leer pelo, mentón y centro horizontal de la cabeza. Anotarlos en 02-Datos\medidas-&lt;x&gt;.json.</w:t>
      </w:r>
    </w:p>
    <w:p>
      <w:pPr>
        <w:spacing w:after="40" w:line="240" w:lineRule="auto"/>
        <w:ind w:left="340"/>
      </w:pPr>
      <w:r>
        <w:rPr>
          <w:rFonts w:ascii="Consolas" w:hAnsi="Consolas"/>
          <w:sz w:val="18"/>
        </w:rPr>
        <w:t>python 00-Scripts\medir_titulo.py 02-Datos\escuela-&lt;x&gt;.json</w:t>
      </w:r>
    </w:p>
    <w:p>
      <w:r>
        <w:rPr>
          <w:b w:val="0"/>
        </w:rPr>
        <w:t>Escribe 02-Datos\titulos-&lt;x&gt;.json. Copiar titulo_post y titulo_story a medidas-&lt;x&gt;.json.</w:t>
      </w:r>
    </w:p>
    <w:p>
      <w:pPr>
        <w:pStyle w:val="Heading2"/>
      </w:pPr>
      <w:r>
        <w:t>5.4 Resolver y aplicar</w:t>
      </w:r>
    </w:p>
    <w:p>
      <w:pPr>
        <w:spacing w:after="40" w:line="240" w:lineRule="auto"/>
        <w:ind w:left="340"/>
      </w:pPr>
      <w:r>
        <w:rPr>
          <w:rFonts w:ascii="Consolas" w:hAnsi="Consolas"/>
          <w:sz w:val="18"/>
        </w:rPr>
        <w:t>python 00-Scripts\solver_encuadre.py 02-Datos\medidas-&lt;x&gt;.json</w:t>
      </w:r>
    </w:p>
    <w:p>
      <w:pPr>
        <w:spacing w:after="40" w:line="240" w:lineRule="auto"/>
        <w:ind w:left="340"/>
      </w:pPr>
      <w:r>
        <w:rPr>
          <w:rFonts w:ascii="Consolas" w:hAnsi="Consolas"/>
          <w:sz w:val="18"/>
        </w:rPr>
        <w:t>python 00-Scripts\aplicar_encuadres.py 02-Datos\escuela-&lt;x&gt;.json 02-Datos\encuadres-&lt;x&gt;.json</w:t>
      </w:r>
    </w:p>
    <w:p>
      <w:pPr>
        <w:spacing w:after="40" w:line="240" w:lineRule="auto"/>
        <w:ind w:left="340"/>
      </w:pPr>
      <w:r>
        <w:rPr>
          <w:rFonts w:ascii="Consolas" w:hAnsi="Consolas"/>
          <w:sz w:val="18"/>
        </w:rPr>
        <w:t>python 00-Scripts\asignar_fotos.py 02-Datos\escuela-&lt;x&gt;.json</w:t>
      </w:r>
    </w:p>
    <w:p>
      <w:pPr>
        <w:spacing w:after="40" w:line="240" w:lineRule="auto"/>
        <w:ind w:left="340"/>
      </w:pPr>
      <w:r>
        <w:rPr>
          <w:rFonts w:ascii="Consolas" w:hAnsi="Consolas"/>
          <w:sz w:val="18"/>
        </w:rPr>
        <w:t>python 00-Scripts\propagar_fotos.py 02-Datos\escuela-&lt;x&gt;.json</w:t>
      </w:r>
    </w:p>
    <w:p>
      <w:r>
        <w:rPr>
          <w:b w:val="0"/>
        </w:rPr>
        <w:t>Si el solver devuelve SIN SOLUCIÓN para alguna carrera, la fotografía no sirve: hay que reemplazarla (§4.6), no forzar los parámetros.</w:t>
      </w:r>
    </w:p>
    <w:p>
      <w:pPr>
        <w:pStyle w:val="Heading2"/>
      </w:pPr>
      <w:r>
        <w:t>5.5 Generar</w:t>
      </w:r>
    </w:p>
    <w:p>
      <w:pPr>
        <w:spacing w:after="40" w:line="240" w:lineRule="auto"/>
        <w:ind w:left="340"/>
      </w:pPr>
      <w:r>
        <w:rPr>
          <w:rFonts w:ascii="Consolas" w:hAnsi="Consolas"/>
          <w:sz w:val="18"/>
        </w:rPr>
        <w:t>python 00-Scripts\lote_graficas_ipg.py 02-Datos\escuela-&lt;x&gt;.json</w:t>
      </w:r>
    </w:p>
    <w:p>
      <w:r>
        <w:rPr>
          <w:b w:val="0"/>
        </w:rPr>
        <w:t>Agregar --con-svg si se quiere el editable junto a cada PNG.</w:t>
      </w:r>
    </w:p>
    <w:p>
      <w:pPr>
        <w:pStyle w:val="Heading2"/>
      </w:pPr>
      <w:r>
        <w:t>5.6 Verificar</w:t>
      </w:r>
    </w:p>
    <w:p>
      <w:pPr>
        <w:spacing w:after="40" w:line="240" w:lineRule="auto"/>
        <w:ind w:left="340"/>
      </w:pPr>
      <w:r>
        <w:rPr>
          <w:rFonts w:ascii="Consolas" w:hAnsi="Consolas"/>
          <w:sz w:val="18"/>
        </w:rPr>
        <w:t>python 00-Scripts\hoja_contacto.py "&lt;Escuela&gt;" Post salida.jpg</w:t>
      </w:r>
    </w:p>
    <w:p>
      <w:r>
        <w:rPr>
          <w:b w:val="0"/>
        </w:rPr>
        <w:t>Confirmar sobre la hoja que ningún elemento de la foto entra en la zona de logo, que el rostro cae en la banda y dentro de la silueta, que hay aire visible entre el mentón y el título, y que el fondo detrás del logo y del texto no es plano.</w:t>
      </w:r>
    </w:p>
    <w:p>
      <w:r>
        <w:rPr>
          <w:b w:val="0"/>
        </w:rPr>
        <w:t>Si algo falla, corregir la medida en medidas-&lt;x&gt;.json y volver a §5.4. No editar los parámetros de encuadre a mano: se pierde la trazabilidad entre la medida y el resultado, y la próxima corrida del solver los pisa.</w:t>
      </w:r>
    </w:p>
    <w:p>
      <w:pPr>
        <w:pStyle w:val="Heading2"/>
      </w:pPr>
      <w:r>
        <w:t>5.7 Limpiar</w:t>
      </w:r>
    </w:p>
    <w:p>
      <w:pPr>
        <w:spacing w:after="40" w:line="240" w:lineRule="auto"/>
        <w:ind w:left="340"/>
      </w:pPr>
      <w:r>
        <w:rPr>
          <w:rFonts w:ascii="Consolas" w:hAnsi="Consolas"/>
          <w:sz w:val="18"/>
        </w:rPr>
        <w:t>python 00-Scripts\limpiar_versiones.py 02-Datos\escuela-&lt;x&gt;.json --borrar</w:t>
      </w:r>
    </w:p>
    <w:p>
      <w:r>
        <w:rPr>
          <w:b w:val="0"/>
        </w:rPr>
        <w:t>Sin --borrar sólo informa qué eliminaría.</w:t>
      </w:r>
    </w:p>
    <w:p>
      <w:pPr>
        <w:pStyle w:val="Heading2"/>
      </w:pPr>
      <w:r>
        <w:t>5.8 Estructura de la entrega</w:t>
      </w:r>
    </w:p>
    <w:p>
      <w:pPr>
        <w:spacing w:after="40" w:line="240" w:lineRule="auto"/>
        <w:ind w:left="340"/>
      </w:pPr>
      <w:r>
        <w:rPr>
          <w:rFonts w:ascii="Consolas" w:hAnsi="Consolas"/>
          <w:sz w:val="18"/>
        </w:rPr>
        <w:t>Gráficas Meta 2027/</w:t>
      </w:r>
    </w:p>
    <w:p>
      <w:pPr>
        <w:spacing w:after="40" w:line="240" w:lineRule="auto"/>
        <w:ind w:left="340"/>
      </w:pPr>
      <w:r>
        <w:rPr>
          <w:rFonts w:ascii="Consolas" w:hAnsi="Consolas"/>
          <w:sz w:val="18"/>
        </w:rPr>
        <w:t xml:space="preserve">  &lt;Escuela&gt;/</w:t>
      </w:r>
    </w:p>
    <w:p>
      <w:pPr>
        <w:spacing w:after="40" w:line="240" w:lineRule="auto"/>
        <w:ind w:left="340"/>
      </w:pPr>
      <w:r>
        <w:rPr>
          <w:rFonts w:ascii="Consolas" w:hAnsi="Consolas"/>
          <w:sz w:val="18"/>
        </w:rPr>
        <w:t xml:space="preserve">    &lt;Carrera&gt;/</w:t>
      </w:r>
    </w:p>
    <w:p>
      <w:pPr>
        <w:spacing w:after="40" w:line="240" w:lineRule="auto"/>
        <w:ind w:left="340"/>
      </w:pPr>
      <w:r>
        <w:rPr>
          <w:rFonts w:ascii="Consolas" w:hAnsi="Consolas"/>
          <w:sz w:val="18"/>
        </w:rPr>
        <w:t xml:space="preserve">      Presencial/</w:t>
      </w:r>
    </w:p>
    <w:p>
      <w:pPr>
        <w:spacing w:after="40" w:line="240" w:lineRule="auto"/>
        <w:ind w:left="340"/>
      </w:pPr>
      <w:r>
        <w:rPr>
          <w:rFonts w:ascii="Consolas" w:hAnsi="Consolas"/>
          <w:sz w:val="18"/>
        </w:rPr>
        <w:t xml:space="preserve">        &lt;Sede&gt;/</w:t>
      </w:r>
    </w:p>
    <w:p>
      <w:pPr>
        <w:spacing w:after="40" w:line="240" w:lineRule="auto"/>
        <w:ind w:left="340"/>
      </w:pPr>
      <w:r>
        <w:rPr>
          <w:rFonts w:ascii="Consolas" w:hAnsi="Consolas"/>
          <w:sz w:val="18"/>
        </w:rPr>
        <w:t xml:space="preserve">          Post-IPG_2027-&lt;Carrera&gt;-&lt;Sede&gt;.png    1080×1080</w:t>
      </w:r>
    </w:p>
    <w:p>
      <w:pPr>
        <w:spacing w:after="40" w:line="240" w:lineRule="auto"/>
        <w:ind w:left="340"/>
      </w:pPr>
      <w:r>
        <w:rPr>
          <w:rFonts w:ascii="Consolas" w:hAnsi="Consolas"/>
          <w:sz w:val="18"/>
        </w:rPr>
        <w:t xml:space="preserve">          Story-IPG_2027-&lt;Carrera&gt;-&lt;Sede&gt;.png   1080×1920</w:t>
      </w:r>
    </w:p>
    <w:p>
      <w:pPr>
        <w:spacing w:after="40" w:line="240" w:lineRule="auto"/>
        <w:ind w:left="340"/>
      </w:pPr>
      <w:r>
        <w:rPr>
          <w:rFonts w:ascii="Consolas" w:hAnsi="Consolas"/>
          <w:sz w:val="18"/>
        </w:rPr>
        <w:t xml:space="preserve">      Online/</w:t>
      </w:r>
    </w:p>
    <w:p>
      <w:pPr>
        <w:spacing w:after="40" w:line="240" w:lineRule="auto"/>
        <w:ind w:left="340"/>
      </w:pPr>
      <w:r>
        <w:rPr>
          <w:rFonts w:ascii="Consolas" w:hAnsi="Consolas"/>
          <w:sz w:val="18"/>
        </w:rPr>
        <w:t xml:space="preserve">          Post-IPG_2027-&lt;Carrera&gt;-Online.png</w:t>
      </w:r>
    </w:p>
    <w:p>
      <w:pPr>
        <w:spacing w:after="40" w:line="240" w:lineRule="auto"/>
        <w:ind w:left="340"/>
      </w:pPr>
      <w:r>
        <w:rPr>
          <w:rFonts w:ascii="Consolas" w:hAnsi="Consolas"/>
          <w:sz w:val="18"/>
        </w:rPr>
        <w:t xml:space="preserve">          Story-IPG_2027-&lt;Carrera&gt;-Online.png</w:t>
      </w:r>
    </w:p>
    <w:p>
      <w:r>
        <w:rPr>
          <w:b w:val="0"/>
        </w:rPr>
      </w:r>
    </w:p>
    <w:p>
      <w:r>
        <w:rPr>
          <w:b w:val="0"/>
        </w:rPr>
        <w:t>Online no abre un nivel de sede porque sólo tiene una. Las sedes no son versiones: cambia la pastilla y a veces la cuota.</w:t>
      </w:r>
    </w:p>
    <w:p>
      <w:pPr>
        <w:pStyle w:val="Heading1"/>
      </w:pPr>
      <w:r>
        <w:t>6. Resumen del estado</w:t>
      </w:r>
    </w:p>
    <w:p>
      <w:pPr>
        <w:pStyle w:val="ListBullet"/>
        <w:spacing w:after="60"/>
      </w:pPr>
      <w:r>
        <w:t>9 procesos (P1–P9): todos automatizados salvo P6, que es asistido.</w:t>
      </w:r>
    </w:p>
    <w:p>
      <w:pPr>
        <w:pStyle w:val="ListBullet"/>
        <w:spacing w:after="60"/>
      </w:pPr>
      <w:r>
        <w:t>30 requerimientos funcionales: 29 construidos, 1 pendiente (RF-16).</w:t>
      </w:r>
    </w:p>
    <w:p>
      <w:pPr>
        <w:pStyle w:val="ListBullet"/>
        <w:spacing w:after="60"/>
      </w:pPr>
      <w:r>
        <w:t>31 reglas de diseño y negocio: todas confirmadas salvo RN-16 y RN-31, aplicadas pero pendientes de confirmación formal.</w:t>
      </w:r>
    </w:p>
    <w:p>
      <w:pPr>
        <w:pStyle w:val="ListBullet"/>
        <w:spacing w:after="60"/>
      </w:pPr>
      <w:r>
        <w:t>6 módulos: M1 pendiente · M3 semi-automatizado · M2, M4, M5 y M6 construidos y verificados sobre las cuatro escuelas.</w:t>
      </w:r>
    </w:p>
    <w:p>
      <w:pPr>
        <w:pStyle w:val="ListBullet"/>
        <w:spacing w:after="60"/>
      </w:pPr>
      <w:r>
        <w:t>4 escuelas cerradas: 43 carreras, 83 piezas, 332 archivos.</w:t>
      </w:r>
    </w:p>
    <w:p>
      <w:pPr>
        <w:pStyle w:val="ListBullet"/>
        <w:spacing w:after="60"/>
      </w:pPr>
      <w:r>
        <w:t>Entrega respaldada y verificada el 21-09-2026: copia completa en C:\Users\IPG\Documents\Arieh\_Respaldos\IPG-2027_2026-09-21, con los 1.169 archivos comprobados uno a uno por hash (hashes.md5 permite repetir la comprobación).</w:t>
      </w:r>
    </w:p>
    <w:p>
      <w:pPr>
        <w:pStyle w:val="ListBullet"/>
        <w:spacing w:after="60"/>
      </w:pPr>
      <w:r>
        <w:t>Los scripts de esta carpeta quedaron congelados tal como produjeron la campaña. Las mejoras posteriores se hicieron en un proyecto aparte (§6.2) para no alterar lo que ya está aprobado.</w:t>
      </w:r>
    </w:p>
    <w:p>
      <w:pPr>
        <w:pStyle w:val="Heading2"/>
      </w:pPr>
      <w:r>
        <w:t>6.1 Lo que se aprendió — errores que no conviene repetir</w:t>
      </w:r>
    </w:p>
    <w:p>
      <w:r>
        <w:rPr>
          <w:b/>
        </w:rPr>
        <w:t>La fotografía se elige con una regla, no con el ojo.</w:t>
      </w:r>
    </w:p>
    <w:p>
      <w:r>
        <w:rPr>
          <w:b w:val="0"/>
        </w:rPr>
        <w:t>La regla del 0,30 (§4.6) es la lección más cara del proyecto: seis fotos descargadas y descartadas porque el rostro era demasiado grande. El solver las detecta, pero para entonces la licencia ya se consumió. Hay que aplicar el criterio sobre la miniatura, antes de descargar.</w:t>
      </w:r>
    </w:p>
    <w:p>
      <w:r>
        <w:rPr>
          <w:b/>
        </w:rPr>
        <w:t>Medir es más barato que tantear, pero sólo si se mide bien.</w:t>
      </w:r>
    </w:p>
    <w:p>
      <w:r>
        <w:rPr>
          <w:b w:val="0"/>
        </w:rPr>
        <w:t>El segundo error más caro no fue de código: fue estimar las medidas del rostro sobre miniaturas. El solver funcionaba, las reglas estaban bien y el resultado igual salía con el texto sobre el mentón, porque la entrada estaba corrida. Las seis fotos de Salud hubo que remedirlas.</w:t>
      </w:r>
    </w:p>
    <w:p>
      <w:r>
        <w:rPr>
          <w:b/>
        </w:rPr>
        <w:t>La silueta era la restricción que faltaba.</w:t>
      </w:r>
    </w:p>
    <w:p>
      <w:r>
        <w:rPr>
          <w:b w:val="0"/>
        </w:rPr>
        <w:t>Las primeras piezas se generaron con el sujeto centrado y se veían mal sin que fuera evidente por qué: cumplían las tres zonas documentadas. La cuarta —la silueta, corrida a la derecha— es la que deja el margen izquierdo limpio para el logo y el título.</w:t>
      </w:r>
    </w:p>
    <w:p>
      <w:r>
        <w:rPr>
          <w:b/>
        </w:rPr>
        <w:t>Cumplir la regla no es lo mismo que verse bien.</w:t>
      </w:r>
    </w:p>
    <w:p>
      <w:r>
        <w:rPr>
          <w:b w:val="0"/>
        </w:rPr>
        <w:t>30px de aire cumplían RN-04 y se leían como texto pegado a la cara. El número que importa no es el que evita la colisión, sino el que deja el rostro visiblemente despejado.</w:t>
      </w:r>
    </w:p>
    <w:p>
      <w:r>
        <w:rPr>
          <w:b/>
        </w:rPr>
        <w:t>Un nombre de salida fijo es una bomba de tiempo.</w:t>
      </w:r>
    </w:p>
    <w:p>
      <w:r>
        <w:rPr>
          <w:b w:val="0"/>
        </w:rPr>
        <w:t>El solver escribía siempre «encuadres-salud.json». Al resolver la segunda escuela pisó los encuadres de la primera. No llegó a ninguna gráfica porque se detectó al revisar, pero es el tipo de error que sólo aparece cuando el proyecto escala.</w:t>
      </w:r>
    </w:p>
    <w:p>
      <w:pPr>
        <w:pStyle w:val="Heading2"/>
      </w:pPr>
      <w:r>
        <w:t>6.2 Continuidad: el motor genérico es otro proyecto</w:t>
      </w:r>
    </w:p>
    <w:p>
      <w:r>
        <w:rPr>
          <w:b w:val="0"/>
        </w:rPr>
        <w:t>Entre el 15 y el 21 de septiembre de 2026 se construyó una versión genérica de este pipeline, capaz de trabajar con cualquier marca en vez de estar atada a las plantillas de IPG. Vive en la carpeta hermana Motor-Graficas y tiene documentación propia.</w:t>
      </w:r>
    </w:p>
    <w:p>
      <w:r>
        <w:rPr>
          <w:b/>
        </w:rPr>
        <w:t>La separación es deliberada</w:t>
      </w:r>
    </w:p>
    <w:p>
      <w:r>
        <w:rPr>
          <w:b w:val="0"/>
        </w:rPr>
        <w:t>Este proyecto es una campaña terminada; el otro es una herramienta en evolución. Mezclarlos haría que cualquier cambio en la herramienta pusiera en duda una entrega ya aprobada. Los scripts de 00-Scripts no se tocaron: siguen produciendo exactamente lo que está en «Gráficas Meta 2027».</w:t>
      </w:r>
    </w:p>
    <w:p>
      <w:r>
        <w:rPr>
          <w:b/>
        </w:rPr>
        <w:t>Qué relación tienen</w:t>
      </w:r>
    </w:p>
    <w:tbl>
      <w:tblPr>
        <w:tblW w:type="auto" w:w="0"/>
        <w:jc w:val="center"/>
        <w:tblLook w:firstColumn="1" w:firstRow="1" w:lastColumn="0" w:lastRow="0" w:noHBand="0" w:noVBand="1" w:val="04A0"/>
      </w:tblPr>
      <w:tblGrid>
        <w:gridCol w:w="3249"/>
        <w:gridCol w:w="3249"/>
        <w:gridCol w:w="3249"/>
      </w:tblGrid>
      <w:tr>
        <w:tc>
          <w:tcPr>
            <w:tcW w:type="dxa" w:w="192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Aspecto</w:t>
            </w:r>
          </w:p>
        </w:tc>
        <w:tc>
          <w:tcPr>
            <w:tcW w:type="dxa" w:w="323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Este proyecto (campaña)</w:t>
            </w:r>
          </w:p>
        </w:tc>
        <w:tc>
          <w:tcPr>
            <w:tcW w:type="dxa" w:w="323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Motor genérico (aparte)</w:t>
            </w:r>
          </w:p>
        </w:tc>
      </w:tr>
      <w:tr>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Alcance</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Admisión IPG 2027, cuatro escuelas</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Cualquier marca con plantilla y planilla</w:t>
            </w:r>
          </w:p>
        </w:tc>
      </w:tr>
      <w:tr>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Estado</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Cerrado y respaldado</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En desarrollo</w:t>
            </w:r>
          </w:p>
        </w:tc>
      </w:tr>
      <w:tr>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Plantillas</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Post y Story de IPG, localizadas por clase de Illustrator</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Las mismas, convertidas a identificadores estables</w:t>
            </w:r>
          </w:p>
        </w:tc>
      </w:tr>
      <w:tr>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Datos</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Cuatro JSON de escuela</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Un JSON de proyecto por campaña</w:t>
            </w:r>
          </w:p>
        </w:tc>
      </w:tr>
      <w:tr>
        <w:tc>
          <w:tcPr>
            <w:tcW w:type="dxa" w:w="1928"/>
            <w:tcBorders>
              <w:top w:val="single" w:sz="4" w:color="BFBFBF"/>
              <w:left w:val="single" w:sz="4" w:color="BFBFBF"/>
              <w:bottom w:val="single" w:sz="4" w:color="BFBFBF"/>
              <w:right w:val="single" w:sz="4" w:color="BFBFBF"/>
            </w:tcBorders>
          </w:tcPr>
          <w:p>
            <w:pPr>
              <w:spacing w:after="40" w:line="240" w:lineRule="auto"/>
            </w:pPr>
            <w:r/>
            <w:r>
              <w:rPr>
                <w:sz w:val="18"/>
              </w:rPr>
              <w:t>Si hay que rehacer la campaña 2027</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Usar este pipeline, como documenta §5</w:t>
            </w:r>
          </w:p>
        </w:tc>
        <w:tc>
          <w:tcPr>
            <w:tcW w:type="dxa" w:w="3231"/>
            <w:tcBorders>
              <w:top w:val="single" w:sz="4" w:color="BFBFBF"/>
              <w:left w:val="single" w:sz="4" w:color="BFBFBF"/>
              <w:bottom w:val="single" w:sz="4" w:color="BFBFBF"/>
              <w:right w:val="single" w:sz="4" w:color="BFBFBF"/>
            </w:tcBorders>
          </w:tcPr>
          <w:p>
            <w:pPr>
              <w:spacing w:after="40" w:line="240" w:lineRule="auto"/>
            </w:pPr>
            <w:r/>
            <w:r>
              <w:rPr>
                <w:sz w:val="18"/>
              </w:rPr>
              <w:t>También sirve: reproduce estas piezas casi píxel a píxel</w:t>
            </w:r>
          </w:p>
        </w:tc>
      </w:tr>
    </w:tbl>
    <w:p>
      <w:pPr>
        <w:spacing w:after="80"/>
      </w:pPr>
    </w:p>
    <w:p>
      <w:r>
        <w:rPr>
          <w:b w:val="0"/>
          <w:color w:val="555555"/>
          <w:sz w:val="18"/>
        </w:rPr>
        <w:t>La equivalencia se verificó: el motor genérico regeneró las 166 piezas y se compararon una a una contra las de esta entrega. 90 salieron bit-idénticas y en el resto la diferencia máxima de color fue de 16 sobre 255 —imperceptible, propia del antialiasing al reescribir el texto—. El detalle de esa verificación está en la documentación de ese proyecto, no aquí.</w:t>
      </w:r>
    </w:p>
    <w:p>
      <w:pPr>
        <w:pStyle w:val="Heading1"/>
      </w:pPr>
      <w:r>
        <w:t>7. Preguntas abiertas</w:t>
      </w:r>
    </w:p>
    <w:tbl>
      <w:tblPr>
        <w:tblW w:type="auto" w:w="0"/>
        <w:jc w:val="center"/>
        <w:tblLook w:firstColumn="1" w:firstRow="1" w:lastColumn="0" w:lastRow="0" w:noHBand="0" w:noVBand="1" w:val="04A0"/>
      </w:tblPr>
      <w:tblGrid>
        <w:gridCol w:w="4873"/>
        <w:gridCol w:w="4873"/>
      </w:tblGrid>
      <w:tr>
        <w:tc>
          <w:tcPr>
            <w:tcW w:type="dxa" w:w="362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Pregunta</w:t>
            </w:r>
          </w:p>
        </w:tc>
        <w:tc>
          <w:tcPr>
            <w:tcW w:type="dxa" w:w="555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¿Una foto por carrera o una por escuela?</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Resuelta — una por carrera, compartida por sus sedes (RN-21).</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Vencimiento del plan Shutterstock.</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Resuelta — plan ilimitado más 350 descargas mensuales, vigente hasta octubre de 2026. La campaña completa consumió unas 30 del cupo mensual; el resto entró por el ilimitado.</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¿Regla de redondeo de la cuota mensual?</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Resuelta — a la decena (RN-29), deducida del post de Ingeniería en Minas.</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¿Una gráfica por carrera + sede aunque haya jornadas o niveles con cuotas distintas?</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Parcialmente abierta — RN-16 aplicada en las cuatro escuelas, pendiente de confirmación como regla general.</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¿Prefijo para las carreras que no admiten «Ingeniería en» ni «Técnico de Nivel Superior en»?</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Abierta — se usó «Carrera Profesional de» (RN-31) en cinco carreras. Necesita visto bueno de Marketing.</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¿Listado oficial de nombres de marketing, con tildes?</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Abierta — el Excel trae la mayoría sin acentos. Cada escuela lleva sus reescrituras anotadas en «_supuestos_a_confirmar».</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¿Acortar los nombres que no caben en una línea?</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Abierta — el título de dos líneas obliga a achicar al sujeto. Afecta a ocho piezas del proyecto.</w:t>
            </w:r>
          </w:p>
        </w:tc>
      </w:tr>
      <w:tr>
        <w:tc>
          <w:tcPr>
            <w:tcW w:type="dxa" w:w="3628"/>
            <w:tcBorders>
              <w:top w:val="single" w:sz="4" w:color="BFBFBF"/>
              <w:left w:val="single" w:sz="4" w:color="BFBFBF"/>
              <w:bottom w:val="single" w:sz="4" w:color="BFBFBF"/>
              <w:right w:val="single" w:sz="4" w:color="BFBFBF"/>
            </w:tcBorders>
          </w:tcPr>
          <w:p>
            <w:pPr>
              <w:spacing w:after="40" w:line="240" w:lineRule="auto"/>
            </w:pPr>
            <w:r/>
            <w:r>
              <w:rPr>
                <w:sz w:val="18"/>
              </w:rPr>
              <w:t>Calidad de algunas fotografías.</w:t>
            </w:r>
          </w:p>
        </w:tc>
        <w:tc>
          <w:tcPr>
            <w:tcW w:type="dxa" w:w="5556"/>
            <w:tcBorders>
              <w:top w:val="single" w:sz="4" w:color="BFBFBF"/>
              <w:left w:val="single" w:sz="4" w:color="BFBFBF"/>
              <w:bottom w:val="single" w:sz="4" w:color="BFBFBF"/>
              <w:right w:val="single" w:sz="4" w:color="BFBFBF"/>
            </w:tcBorders>
          </w:tcPr>
          <w:p>
            <w:pPr>
              <w:spacing w:after="40" w:line="240" w:lineRule="auto"/>
            </w:pPr>
            <w:r/>
            <w:r>
              <w:rPr>
                <w:sz w:val="18"/>
              </w:rPr>
              <w:t>Abierta — Podología es la más floja: el banco no tiene un retrato individual decente y lo disponible lee como «salud genérica».</w:t>
            </w:r>
          </w:p>
        </w:tc>
      </w:tr>
    </w:tbl>
    <w:p>
      <w:pPr>
        <w:spacing w:after="80"/>
      </w:pPr>
    </w:p>
    <w:p>
      <w:pPr>
        <w:pStyle w:val="Heading1"/>
      </w:pPr>
      <w:r>
        <w:t>8. Fases y mejora continua</w:t>
      </w:r>
    </w:p>
    <w:p>
      <w:pPr>
        <w:pStyle w:val="Heading2"/>
      </w:pPr>
      <w:r>
        <w:t>8.1 Fases</w:t>
      </w:r>
    </w:p>
    <w:tbl>
      <w:tblPr>
        <w:tblW w:type="auto" w:w="0"/>
        <w:jc w:val="center"/>
        <w:tblLook w:firstColumn="1" w:firstRow="1" w:lastColumn="0" w:lastRow="0" w:noHBand="0" w:noVBand="1" w:val="04A0"/>
      </w:tblPr>
      <w:tblGrid>
        <w:gridCol w:w="3249"/>
        <w:gridCol w:w="3249"/>
        <w:gridCol w:w="3249"/>
      </w:tblGrid>
      <w:tr>
        <w:tc>
          <w:tcPr>
            <w:tcW w:type="dxa" w:w="4762"/>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Fase</w:t>
            </w:r>
          </w:p>
        </w:tc>
        <w:tc>
          <w:tcPr>
            <w:tcW w:type="dxa" w:w="226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Estado</w:t>
            </w:r>
          </w:p>
        </w:tc>
        <w:tc>
          <w:tcPr>
            <w:tcW w:type="dxa" w:w="215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Cierre</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Traspaso de contexto y organización del repositorio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11–12-09-2026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Entorno técnico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11-09-2026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Módulo 2 (texto)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11-09-2026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Módulo 4 (foto): descarga y fórmula de encuadre</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12–14-09-2026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Piloto en 2 carreras reales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14-09-2026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Módulo 6: orquestación de lote por escuela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Solver de encuadre y zona de silueta</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Medición de título y de rostro; reencuadre completo</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Escuela de Salud — 6 carreras, 14 piezas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Escuela de Educación y Desarrollo Social — 6 carreras, 23 piezas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Escuela de Gestión, Negocios y Marítima — 13 carreras, 19 piezas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Escuela de Ingeniería y Tecnología — 18 carreras, 27 piezas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Campaña completa: 166 gráficas entregadas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15-09-2026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Respaldo íntegro verificado por hash (1.169 archivos)</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Completada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21-09-2026</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Módulo 1: extracción automática del Excel</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No iniciado</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4762"/>
            <w:tcBorders>
              <w:top w:val="single" w:sz="4" w:color="BFBFBF"/>
              <w:left w:val="single" w:sz="4" w:color="BFBFBF"/>
              <w:bottom w:val="single" w:sz="4" w:color="BFBFBF"/>
              <w:right w:val="single" w:sz="4" w:color="BFBFBF"/>
            </w:tcBorders>
          </w:tcPr>
          <w:p>
            <w:pPr>
              <w:spacing w:after="40" w:line="240" w:lineRule="auto"/>
            </w:pPr>
            <w:r/>
            <w:r>
              <w:rPr>
                <w:sz w:val="18"/>
              </w:rPr>
              <w:t>Revisión final de Marketing antes de publicar</w:t>
            </w:r>
          </w:p>
        </w:tc>
        <w:tc>
          <w:tcPr>
            <w:tcW w:type="dxa" w:w="2268"/>
            <w:tcBorders>
              <w:top w:val="single" w:sz="4" w:color="BFBFBF"/>
              <w:left w:val="single" w:sz="4" w:color="BFBFBF"/>
              <w:bottom w:val="single" w:sz="4" w:color="BFBFBF"/>
              <w:right w:val="single" w:sz="4" w:color="BFBFBF"/>
            </w:tcBorders>
          </w:tcPr>
          <w:p>
            <w:pPr>
              <w:spacing w:after="40" w:line="240" w:lineRule="auto"/>
            </w:pPr>
            <w:r/>
            <w:r>
              <w:rPr>
                <w:sz w:val="18"/>
              </w:rPr>
              <w:t>Pendiente</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bl>
    <w:p>
      <w:pPr>
        <w:spacing w:after="80"/>
      </w:pPr>
    </w:p>
    <w:p>
      <w:r>
        <w:rPr>
          <w:b w:val="0"/>
          <w:color w:val="555555"/>
          <w:sz w:val="18"/>
        </w:rPr>
        <w:t>Las dos fases pendientes son las únicas que quedan abiertas en ESTE proyecto. Todo lo demás que aparece como mejora se ejecutó en el motor genérico, que es otro repositorio (§6.2).</w:t>
      </w:r>
    </w:p>
    <w:p>
      <w:pPr>
        <w:pStyle w:val="Heading2"/>
      </w:pPr>
      <w:r>
        <w:t>8.2 Backlog de mejora continua</w:t>
      </w:r>
    </w:p>
    <w:tbl>
      <w:tblPr>
        <w:tblW w:type="auto" w:w="0"/>
        <w:jc w:val="center"/>
        <w:tblLook w:firstColumn="1" w:firstRow="1" w:lastColumn="0" w:lastRow="0" w:noHBand="0" w:noVBand="1" w:val="04A0"/>
      </w:tblPr>
      <w:tblGrid>
        <w:gridCol w:w="3249"/>
        <w:gridCol w:w="3249"/>
        <w:gridCol w:w="3249"/>
      </w:tblGrid>
      <w:tr>
        <w:tc>
          <w:tcPr>
            <w:tcW w:type="dxa" w:w="1361"/>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Prioridad</w:t>
            </w:r>
          </w:p>
        </w:tc>
        <w:tc>
          <w:tcPr>
            <w:tcW w:type="dxa" w:w="5669"/>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Tema</w:t>
            </w:r>
          </w:p>
        </w:tc>
        <w:tc>
          <w:tcPr>
            <w:tcW w:type="dxa" w:w="2154"/>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Depende de</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Alta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Confirmar los supuestos de nombres y prefijos anotados en cada JSON antes de publicar.</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Marketing</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Alta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Confirmar RN-16 (cuota más baja entre niveles agrupados) como regla general.</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Decisión del usuario</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Media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Construir el Módulo 1 (Excel → JSON de escuela).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Esquema de columnas final del Excel</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Baja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Reemplazar la foto de Podología si hay producción propia.</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Presupuesto</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Baja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Registrar el código de carrera además del slug, para evitar colisiones entre carreras homónimas.</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SVG acumulándose en la carpeta de entrega (RN-23).</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Exit code poco fiable de Inkscape.</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Foto expandida rechazada por Pillow (RN-27).</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El solver pisaba los encuadres de otra escuela (RF-30).</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br/>
              <w:t>aparte</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Automatizar la medición del rostro con detección facial. Era el único paso manual del encuadre y el que más errores produjo.</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Motor genérico</w:t>
            </w:r>
          </w:p>
        </w:tc>
      </w:tr>
      <w:tr>
        <w:tc>
          <w:tcPr>
            <w:tcW w:type="dxa" w:w="1361"/>
            <w:tcBorders>
              <w:top w:val="single" w:sz="4" w:color="BFBFBF"/>
              <w:left w:val="single" w:sz="4" w:color="BFBFBF"/>
              <w:bottom w:val="single" w:sz="4" w:color="BFBFBF"/>
              <w:right w:val="single" w:sz="4" w:color="BFBFBF"/>
            </w:tcBorders>
          </w:tcPr>
          <w:p>
            <w:pPr>
              <w:spacing w:after="40" w:line="240" w:lineRule="auto"/>
            </w:pPr>
            <w:r/>
            <w:r>
              <w:rPr>
                <w:sz w:val="18"/>
              </w:rPr>
              <w:t>Resuelta</w:t>
              <w:br/>
              <w:t>aparte</w:t>
            </w:r>
          </w:p>
        </w:tc>
        <w:tc>
          <w:tcPr>
            <w:tcW w:type="dxa" w:w="5669"/>
            <w:tcBorders>
              <w:top w:val="single" w:sz="4" w:color="BFBFBF"/>
              <w:left w:val="single" w:sz="4" w:color="BFBFBF"/>
              <w:bottom w:val="single" w:sz="4" w:color="BFBFBF"/>
              <w:right w:val="single" w:sz="4" w:color="BFBFBF"/>
            </w:tcBorders>
          </w:tcPr>
          <w:p>
            <w:pPr>
              <w:spacing w:after="40" w:line="240" w:lineRule="auto"/>
            </w:pPr>
            <w:r/>
            <w:r>
              <w:rPr>
                <w:sz w:val="18"/>
              </w:rPr>
              <w:t>Aplicar la regla del 0,30 automáticamente antes de descargar, para no gastar licencias en fotos inservibles.</w:t>
            </w:r>
          </w:p>
        </w:tc>
        <w:tc>
          <w:tcPr>
            <w:tcW w:type="dxa" w:w="2154"/>
            <w:tcBorders>
              <w:top w:val="single" w:sz="4" w:color="BFBFBF"/>
              <w:left w:val="single" w:sz="4" w:color="BFBFBF"/>
              <w:bottom w:val="single" w:sz="4" w:color="BFBFBF"/>
              <w:right w:val="single" w:sz="4" w:color="BFBFBF"/>
            </w:tcBorders>
          </w:tcPr>
          <w:p>
            <w:pPr>
              <w:spacing w:after="40" w:line="240" w:lineRule="auto"/>
            </w:pPr>
            <w:r/>
            <w:r>
              <w:rPr>
                <w:sz w:val="18"/>
              </w:rPr>
              <w:t>Motor genérico</w:t>
            </w:r>
          </w:p>
        </w:tc>
      </w:tr>
    </w:tbl>
    <w:p>
      <w:pPr>
        <w:spacing w:after="80"/>
      </w:pPr>
    </w:p>
    <w:p>
      <w:r>
        <w:rPr>
          <w:b w:val="0"/>
          <w:color w:val="555555"/>
          <w:sz w:val="18"/>
        </w:rPr>
        <w:t>«Resuelta aparte» significa que la mejora existe en el motor genérico (§6.2) y NO en los scripts de esta carpeta, que quedaron congelados. Si se vuelve a producir una campaña con este pipeline, esos dos pasos siguen siendo manuales aquí.</w:t>
      </w:r>
    </w:p>
    <w:p>
      <w:pPr>
        <w:pStyle w:val="Heading1"/>
      </w:pPr>
      <w:r>
        <w:t>9. Roles</w:t>
      </w:r>
    </w:p>
    <w:tbl>
      <w:tblPr>
        <w:tblW w:type="auto" w:w="0"/>
        <w:jc w:val="center"/>
        <w:tblLook w:firstColumn="1" w:firstRow="1" w:lastColumn="0" w:lastRow="0" w:noHBand="0" w:noVBand="1" w:val="04A0"/>
      </w:tblPr>
      <w:tblGrid>
        <w:gridCol w:w="4873"/>
        <w:gridCol w:w="4873"/>
      </w:tblGrid>
      <w:tr>
        <w:tc>
          <w:tcPr>
            <w:tcW w:type="dxa" w:w="2608"/>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Quién</w:t>
            </w:r>
          </w:p>
        </w:tc>
        <w:tc>
          <w:tcPr>
            <w:tcW w:type="dxa" w:w="6576"/>
            <w:shd w:val="clear" w:fill="1E5FBF"/>
            <w:tcBorders>
              <w:top w:val="single" w:sz="4" w:color="BFBFBF"/>
              <w:left w:val="single" w:sz="4" w:color="BFBFBF"/>
              <w:bottom w:val="single" w:sz="4" w:color="BFBFBF"/>
              <w:right w:val="single" w:sz="4" w:color="BFBFBF"/>
            </w:tcBorders>
          </w:tcPr>
          <w:p>
            <w:pPr>
              <w:spacing w:after="40" w:line="240" w:lineRule="auto"/>
            </w:pPr>
            <w:r/>
            <w:r>
              <w:rPr>
                <w:b/>
                <w:color w:val="FFFFFF"/>
                <w:sz w:val="18"/>
              </w:rPr>
              <w:t>Qué hace</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Usuario (Luis Rivera)</w:t>
            </w:r>
          </w:p>
        </w:tc>
        <w:tc>
          <w:tcPr>
            <w:tcW w:type="dxa" w:w="6576"/>
            <w:tcBorders>
              <w:top w:val="single" w:sz="4" w:color="BFBFBF"/>
              <w:left w:val="single" w:sz="4" w:color="BFBFBF"/>
              <w:bottom w:val="single" w:sz="4" w:color="BFBFBF"/>
              <w:right w:val="single" w:sz="4" w:color="BFBFBF"/>
            </w:tcBorders>
          </w:tcPr>
          <w:p>
            <w:pPr>
              <w:spacing w:after="40" w:line="240" w:lineRule="auto"/>
            </w:pPr>
            <w:r/>
            <w:r>
              <w:rPr>
                <w:sz w:val="18"/>
              </w:rPr>
              <w:t>Define y aprueba criterios de diseño y encuadre, gestiona la cuenta Shutterstock, decide las reglas de negocio pendientes y da el visto bueno final de cada pieza.</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Sesión Claude Code</w:t>
            </w:r>
          </w:p>
        </w:tc>
        <w:tc>
          <w:tcPr>
            <w:tcW w:type="dxa" w:w="6576"/>
            <w:tcBorders>
              <w:top w:val="single" w:sz="4" w:color="BFBFBF"/>
              <w:left w:val="single" w:sz="4" w:color="BFBFBF"/>
              <w:bottom w:val="single" w:sz="4" w:color="BFBFBF"/>
              <w:right w:val="single" w:sz="4" w:color="BFBFBF"/>
            </w:tcBorders>
          </w:tcPr>
          <w:p>
            <w:pPr>
              <w:spacing w:after="40" w:line="240" w:lineRule="auto"/>
            </w:pPr>
            <w:r/>
            <w:r>
              <w:rPr>
                <w:sz w:val="18"/>
              </w:rPr>
              <w:t>Mantiene los scripts, ejecuta el pipeline, busca y descarga fotografías, mide y resuelve los encuadres, renderiza, verifica cada pieza y regenera esta documentación.</w:t>
            </w:r>
          </w:p>
        </w:tc>
      </w:tr>
      <w:tr>
        <w:tc>
          <w:tcPr>
            <w:tcW w:type="dxa" w:w="2608"/>
            <w:tcBorders>
              <w:top w:val="single" w:sz="4" w:color="BFBFBF"/>
              <w:left w:val="single" w:sz="4" w:color="BFBFBF"/>
              <w:bottom w:val="single" w:sz="4" w:color="BFBFBF"/>
              <w:right w:val="single" w:sz="4" w:color="BFBFBF"/>
            </w:tcBorders>
          </w:tcPr>
          <w:p>
            <w:pPr>
              <w:spacing w:after="40" w:line="240" w:lineRule="auto"/>
            </w:pPr>
            <w:r/>
            <w:r>
              <w:rPr>
                <w:sz w:val="18"/>
              </w:rPr>
              <w:t>Diseño Gráfico / Marketing</w:t>
            </w:r>
          </w:p>
        </w:tc>
        <w:tc>
          <w:tcPr>
            <w:tcW w:type="dxa" w:w="6576"/>
            <w:tcBorders>
              <w:top w:val="single" w:sz="4" w:color="BFBFBF"/>
              <w:left w:val="single" w:sz="4" w:color="BFBFBF"/>
              <w:bottom w:val="single" w:sz="4" w:color="BFBFBF"/>
              <w:right w:val="single" w:sz="4" w:color="BFBFBF"/>
            </w:tcBorders>
          </w:tcPr>
          <w:p>
            <w:pPr>
              <w:spacing w:after="40" w:line="240" w:lineRule="auto"/>
            </w:pPr>
            <w:r/>
            <w:r>
              <w:rPr>
                <w:sz w:val="18"/>
              </w:rPr>
              <w:t>Dueño original de las plantillas Illustrator; confirma los nombres de marketing y revisa antes de publicar.</w:t>
            </w:r>
          </w:p>
        </w:tc>
      </w:tr>
    </w:tbl>
    <w:p>
      <w:pPr>
        <w:spacing w:after="80"/>
      </w:pPr>
    </w:p>
    <w:p>
      <w:r>
        <w:rPr>
          <w:b w:val="0"/>
        </w:rPr>
      </w:r>
    </w:p>
    <w:p>
      <w:r>
        <w:rPr>
          <w:b w:val="0"/>
          <w:color w:val="555555"/>
          <w:sz w:val="17"/>
        </w:rPr>
        <w:t>Documento generado por 00-Scripts/generar_documentacion.py a partir de las conversaciones del 11 al 15 de septiembre de 2026 · Mantenido por Luis Rivera · luis.rivera@ipg.cl · Última actualización: 15 de septiembre de 2026 · Pipeline en versión 0.7</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E5F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E5FB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