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6.0" w:type="dxa"/>
        <w:jc w:val="left"/>
        <w:tblInd w:w="-497.0" w:type="dxa"/>
        <w:tblBorders>
          <w:top w:color="0070c0" w:space="0" w:sz="8" w:val="single"/>
          <w:left w:color="0070c0" w:space="0" w:sz="8" w:val="single"/>
          <w:bottom w:color="0070c0" w:space="0" w:sz="8" w:val="single"/>
          <w:right w:color="0070c0" w:space="0" w:sz="8" w:val="single"/>
          <w:insideH w:color="9cc3e5" w:space="0" w:sz="4" w:val="single"/>
          <w:insideV w:color="bfbfbf" w:space="0" w:sz="4" w:val="single"/>
        </w:tblBorders>
        <w:tblLayout w:type="fixed"/>
        <w:tblLook w:val="04A0"/>
      </w:tblPr>
      <w:tblGrid>
        <w:gridCol w:w="3175"/>
        <w:gridCol w:w="3175"/>
        <w:gridCol w:w="3176"/>
        <w:tblGridChange w:id="0">
          <w:tblGrid>
            <w:gridCol w:w="3175"/>
            <w:gridCol w:w="3175"/>
            <w:gridCol w:w="3176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0070c0" w:val="clear"/>
          </w:tcPr>
          <w:p w:rsidR="00000000" w:rsidDel="00000000" w:rsidP="00000000" w:rsidRDefault="00000000" w:rsidRPr="00000000" w14:paraId="00000002">
            <w:pPr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Dr. 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0070c0" w:val="clear"/>
          </w:tcPr>
          <w:p w:rsidR="00000000" w:rsidDel="00000000" w:rsidP="00000000" w:rsidRDefault="00000000" w:rsidRPr="00000000" w14:paraId="00000003">
            <w:pPr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Nombre: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0070c0" w:val="clear"/>
          </w:tcPr>
          <w:p w:rsidR="00000000" w:rsidDel="00000000" w:rsidP="00000000" w:rsidRDefault="00000000" w:rsidRPr="00000000" w14:paraId="00000004">
            <w:pPr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ID de la muestra: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05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06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Rut: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07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Tipo de muestra: FFPE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08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independencia 1027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9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Fecha de Nacimiento: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A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Fecha de recolección: 2020-08-10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0B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Número: XXXX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0C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Sexo: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0D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Fecha de recepción: 2020-08-25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0E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E-mail: XX@gmail.com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F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Dirección: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0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Fecha de Secuenciación: 2020-09-04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11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12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E-mail: XXXX@gmail.com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13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Fecha de Reporte: 2020-09-14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-567" w:right="-568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26.0" w:type="dxa"/>
        <w:jc w:val="left"/>
        <w:tblInd w:w="-492.0" w:type="dxa"/>
        <w:tblBorders>
          <w:top w:color="9cc3e5" w:space="0" w:sz="4" w:val="single"/>
          <w:left w:color="00aacc" w:space="0" w:sz="8" w:val="single"/>
          <w:bottom w:color="9cc3e5" w:space="0" w:sz="4" w:val="single"/>
          <w:right w:color="00aacc" w:space="0" w:sz="8" w:val="single"/>
          <w:insideH w:color="9cc3e5" w:space="0" w:sz="4" w:val="single"/>
          <w:insideV w:color="bfbfbf" w:space="0" w:sz="4" w:val="single"/>
        </w:tblBorders>
        <w:tblLayout w:type="fixed"/>
        <w:tblLook w:val="04A0"/>
      </w:tblPr>
      <w:tblGrid>
        <w:gridCol w:w="3181"/>
        <w:gridCol w:w="6345"/>
        <w:tblGridChange w:id="0">
          <w:tblGrid>
            <w:gridCol w:w="3181"/>
            <w:gridCol w:w="634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ind w:right="-568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-568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INFORMACION CLÍNICA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right="-568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Diagnóstico: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5b9bd5" w:val="clear"/>
          </w:tcPr>
          <w:p w:rsidR="00000000" w:rsidDel="00000000" w:rsidP="00000000" w:rsidRDefault="00000000" w:rsidRPr="00000000" w14:paraId="0000001F">
            <w:pPr>
              <w:ind w:right="-568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right="-568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EXAMEN HISTOPATOLÓGICO</w:t>
            </w:r>
          </w:p>
          <w:p w:rsidR="00000000" w:rsidDel="00000000" w:rsidP="00000000" w:rsidRDefault="00000000" w:rsidRPr="00000000" w14:paraId="00000021">
            <w:pPr>
              <w:ind w:right="-568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Tejido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Diagnóstico Anátomo patológico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origen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tumor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Tumor de origen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Porcentaje de celularidad (%)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celularidad determinada por </w:t>
            </w:r>
          </w:p>
        </w:tc>
      </w:tr>
    </w:tbl>
    <w:p w:rsidR="00000000" w:rsidDel="00000000" w:rsidP="00000000" w:rsidRDefault="00000000" w:rsidRPr="00000000" w14:paraId="00000031">
      <w:pPr>
        <w:ind w:left="-567" w:right="-5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aacc" w:space="0" w:sz="24" w:val="single"/>
          <w:left w:color="00aacc" w:space="0" w:sz="24" w:val="single"/>
          <w:bottom w:color="00aacc" w:space="0" w:sz="24" w:val="single"/>
          <w:right w:color="00aacc" w:space="0" w:sz="24" w:val="single"/>
        </w:pBdr>
        <w:shd w:fill="00aacc" w:val="clear"/>
        <w:spacing w:after="0" w:before="120" w:line="264" w:lineRule="auto"/>
        <w:ind w:left="-567" w:right="-567" w:firstLine="0"/>
        <w:rPr>
          <w:b w:val="1"/>
          <w:i w:val="1"/>
          <w:smallCaps w:val="1"/>
          <w:color w:val="ffffff"/>
        </w:rPr>
      </w:pPr>
      <w:r w:rsidDel="00000000" w:rsidR="00000000" w:rsidRPr="00000000">
        <w:rPr>
          <w:b w:val="1"/>
          <w:i w:val="1"/>
          <w:smallCaps w:val="1"/>
          <w:color w:val="ffffff"/>
          <w:rtl w:val="0"/>
        </w:rPr>
        <w:t xml:space="preserve">RESULTADOS</w:t>
      </w:r>
    </w:p>
    <w:p w:rsidR="00000000" w:rsidDel="00000000" w:rsidP="00000000" w:rsidRDefault="00000000" w:rsidRPr="00000000" w14:paraId="00000034">
      <w:pPr>
        <w:spacing w:after="200" w:before="120" w:line="264" w:lineRule="auto"/>
        <w:ind w:left="-567" w:firstLine="0"/>
        <w:rPr>
          <w:b w:val="1"/>
          <w:smallCaps w:val="1"/>
          <w:color w:val="1f3864"/>
        </w:rPr>
      </w:pPr>
      <w:r w:rsidDel="00000000" w:rsidR="00000000" w:rsidRPr="00000000">
        <w:rPr>
          <w:b w:val="1"/>
          <w:smallCaps w:val="1"/>
          <w:color w:val="1f3864"/>
          <w:sz w:val="20"/>
          <w:szCs w:val="20"/>
          <w:rtl w:val="0"/>
        </w:rPr>
        <w:t xml:space="preserve">MUTACIONES CON VALOR TERAPÉUTICO (DESTACADAS)</w:t>
      </w: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Ind w:w="-943.0" w:type="dxa"/>
        <w:tblBorders>
          <w:top w:color="9cc3e5" w:space="0" w:sz="4" w:val="single"/>
          <w:left w:color="00aacc" w:space="0" w:sz="8" w:val="single"/>
          <w:bottom w:color="9cc3e5" w:space="0" w:sz="4" w:val="single"/>
          <w:right w:color="00aacc" w:space="0" w:sz="8" w:val="single"/>
          <w:insideH w:color="9cc3e5" w:space="0" w:sz="4" w:val="single"/>
          <w:insideV w:color="bfbfbf" w:space="0" w:sz="4" w:val="single"/>
        </w:tblBorders>
        <w:tblLayout w:type="fixed"/>
        <w:tblLook w:val="04A0"/>
      </w:tblPr>
      <w:tblGrid>
        <w:gridCol w:w="1815"/>
        <w:gridCol w:w="1740"/>
        <w:gridCol w:w="1740"/>
        <w:gridCol w:w="1770"/>
        <w:gridCol w:w="1575"/>
        <w:gridCol w:w="1800"/>
        <w:tblGridChange w:id="0">
          <w:tblGrid>
            <w:gridCol w:w="1815"/>
            <w:gridCol w:w="1740"/>
            <w:gridCol w:w="1740"/>
            <w:gridCol w:w="1770"/>
            <w:gridCol w:w="1575"/>
            <w:gridCol w:w="1800"/>
          </w:tblGrid>
        </w:tblGridChange>
      </w:tblGrid>
      <w:tr>
        <w:trPr>
          <w:cantSplit w:val="0"/>
          <w:trHeight w:val="434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0"/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HGVSc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aa mutación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Clasificación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Respaldo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Terapias</w:t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ENST00000534070.1:c.1411A&gt;G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CHECK1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I/V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POLIMORFISMO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AF &gt; 0.01 en 1000G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  <w:drawing>
                <wp:inline distB="0" distT="0" distL="0" distR="0">
                  <wp:extent cx="107950" cy="107950"/>
                  <wp:effectExtent b="0" l="0" r="0" t="0"/>
                  <wp:docPr descr="Close" id="249" name="image2.png"/>
                  <a:graphic>
                    <a:graphicData uri="http://schemas.openxmlformats.org/drawingml/2006/picture">
                      <pic:pic>
                        <pic:nvPicPr>
                          <pic:cNvPr descr="Clos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ENST00000350721.4:c.7875G&gt;A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ATR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POLIMORFISMO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AF &gt; 0.01 en 1000G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  <w:drawing>
                <wp:inline distB="0" distT="0" distL="0" distR="0">
                  <wp:extent cx="107950" cy="107950"/>
                  <wp:effectExtent b="0" l="0" r="0" t="0"/>
                  <wp:docPr descr="Close" id="245" name="image2.png"/>
                  <a:graphic>
                    <a:graphicData uri="http://schemas.openxmlformats.org/drawingml/2006/picture">
                      <pic:pic>
                        <pic:nvPicPr>
                          <pic:cNvPr descr="Clos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ENST00000320574.5:c.6252A&gt;G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POLE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POLIMORFISMO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AF &gt; 0.01 en 1000G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  <w:drawing>
                <wp:inline distB="0" distT="0" distL="0" distR="0">
                  <wp:extent cx="107950" cy="107950"/>
                  <wp:effectExtent b="0" l="0" r="0" t="0"/>
                  <wp:docPr descr="Close" id="248" name="image2.png"/>
                  <a:graphic>
                    <a:graphicData uri="http://schemas.openxmlformats.org/drawingml/2006/picture">
                      <pic:pic>
                        <pic:nvPicPr>
                          <pic:cNvPr descr="Clos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.94726562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ENST00000269305.4:c.215C&gt;G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TP53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P/R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POLIMORFISMO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AF &gt; 0.01 en 1000G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  <w:drawing>
                <wp:inline distB="0" distT="0" distL="0" distR="0">
                  <wp:extent cx="107950" cy="107950"/>
                  <wp:effectExtent b="0" l="0" r="0" t="0"/>
                  <wp:docPr descr="Close" id="247" name="image2.png"/>
                  <a:graphic>
                    <a:graphicData uri="http://schemas.openxmlformats.org/drawingml/2006/picture">
                      <pic:pic>
                        <pic:nvPicPr>
                          <pic:cNvPr descr="Clos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ENST00000263388.2:c.2538C&gt;T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NOTCH3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POLIMORFISMO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AF &gt; 0.01 en 1000G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  <w:drawing>
                <wp:inline distB="0" distT="0" distL="0" distR="0">
                  <wp:extent cx="107950" cy="107950"/>
                  <wp:effectExtent b="0" l="0" r="0" t="0"/>
                  <wp:docPr descr="Close" id="246" name="image2.png"/>
                  <a:graphic>
                    <a:graphicData uri="http://schemas.openxmlformats.org/drawingml/2006/picture">
                      <pic:pic>
                        <pic:nvPicPr>
                          <pic:cNvPr descr="Clos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ENST00000324856.7:c.1210C&gt;T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ARID1A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Q/*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SOMÁTICA predicha conductora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Nivel </w:t>
            </w: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Evidencia D</w:t>
            </w: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 - pre-clinical - CGI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6"/>
                <w:szCs w:val="16"/>
              </w:rPr>
            </w:pPr>
            <w:r w:rsidDel="00000000" w:rsidR="00000000" w:rsidRPr="00000000">
              <w:rPr>
                <w:color w:val="8496b0"/>
                <w:sz w:val="16"/>
                <w:szCs w:val="16"/>
                <w:rtl w:val="0"/>
              </w:rPr>
              <w:t xml:space="preserve">PARP inhibitors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ENST00000278616.4:c.574C&gt;T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ATM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H/Y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SOMÁTICA predicha pasajera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CGI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  <w:drawing>
                <wp:inline distB="0" distT="0" distL="0" distR="0">
                  <wp:extent cx="107950" cy="107950"/>
                  <wp:effectExtent b="0" l="0" r="0" t="0"/>
                  <wp:docPr descr="Close" id="251" name="image2.png"/>
                  <a:graphic>
                    <a:graphicData uri="http://schemas.openxmlformats.org/drawingml/2006/picture">
                      <pic:pic>
                        <pic:nvPicPr>
                          <pic:cNvPr descr="Clos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ENST00000544455.1:c.7976G&gt;A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BRCA2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R/K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SOMÁTICA ACIONABLE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Nivel Evidencia 1 - </w:t>
            </w: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OncoKB</w:t>
            </w: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/CGI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color w:val="8496b0"/>
                <w:sz w:val="16"/>
                <w:szCs w:val="16"/>
              </w:rPr>
            </w:pPr>
            <w:r w:rsidDel="00000000" w:rsidR="00000000" w:rsidRPr="00000000">
              <w:rPr>
                <w:color w:val="8496b0"/>
                <w:sz w:val="16"/>
                <w:szCs w:val="16"/>
                <w:rtl w:val="0"/>
              </w:rPr>
              <w:t xml:space="preserve">​​</w:t>
            </w:r>
            <w:r w:rsidDel="00000000" w:rsidR="00000000" w:rsidRPr="00000000">
              <w:rPr>
                <w:color w:val="8496b0"/>
                <w:sz w:val="16"/>
                <w:szCs w:val="16"/>
                <w:rtl w:val="0"/>
              </w:rPr>
              <w:t xml:space="preserve">Niraparib (PARP inhibitor) / Ovarian/ BC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.8476562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ENST00000358273.4:c.2503C&gt;T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NF1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Q/*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SOMÁTICA predicha driver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left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Nivel Evidencia B - Late trial  - CGI</w:t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6"/>
                <w:szCs w:val="16"/>
              </w:rPr>
            </w:pPr>
            <w:r w:rsidDel="00000000" w:rsidR="00000000" w:rsidRPr="00000000">
              <w:rPr>
                <w:color w:val="8496b0"/>
                <w:sz w:val="16"/>
                <w:szCs w:val="16"/>
                <w:rtl w:val="0"/>
              </w:rPr>
              <w:t xml:space="preserve">Everolimus (MTOR inhibitor) / Late trial /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ENST00000287647.3:c.1118C&gt;T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FANCD2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S/L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SOMÁTICA predicha driver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CGI</w:t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  <w:drawing>
                <wp:inline distB="0" distT="0" distL="0" distR="0">
                  <wp:extent cx="107950" cy="107950"/>
                  <wp:effectExtent b="0" l="0" r="0" t="0"/>
                  <wp:docPr descr="Close" id="250" name="image2.png"/>
                  <a:graphic>
                    <a:graphicData uri="http://schemas.openxmlformats.org/drawingml/2006/picture">
                      <pic:pic>
                        <pic:nvPicPr>
                          <pic:cNvPr descr="Clos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200" w:before="120" w:line="264" w:lineRule="auto"/>
        <w:ind w:left="-567" w:right="-568" w:firstLine="0"/>
        <w:rPr>
          <w:rFonts w:ascii="Corbel" w:cs="Corbel" w:eastAsia="Corbel" w:hAnsi="Corbel"/>
          <w:b w:val="1"/>
          <w:smallCaps w:val="1"/>
          <w:color w:val="8496b0"/>
          <w:sz w:val="20"/>
          <w:szCs w:val="20"/>
        </w:rPr>
      </w:pPr>
      <w:r w:rsidDel="00000000" w:rsidR="00000000" w:rsidRPr="00000000">
        <w:rPr>
          <w:color w:val="8496b0"/>
          <w:sz w:val="16"/>
          <w:szCs w:val="16"/>
          <w:rtl w:val="0"/>
        </w:rPr>
        <w:br w:type="textWrapping"/>
      </w:r>
      <w:r w:rsidDel="00000000" w:rsidR="00000000" w:rsidRPr="00000000">
        <w:rPr>
          <w:b w:val="1"/>
          <w:color w:val="8496b0"/>
          <w:sz w:val="16"/>
          <w:szCs w:val="16"/>
          <w:rtl w:val="0"/>
        </w:rPr>
        <w:t xml:space="preserve">A</w:t>
      </w:r>
      <w:r w:rsidDel="00000000" w:rsidR="00000000" w:rsidRPr="00000000">
        <w:rPr>
          <w:color w:val="8496b0"/>
          <w:sz w:val="16"/>
          <w:szCs w:val="16"/>
          <w:rtl w:val="0"/>
        </w:rPr>
        <w:t xml:space="preserve">: CPIC guidelines, FDA guidelines , European LeukemiaNet guidelines, NCCN guidelines, NCCN/CAP guidelines. </w:t>
      </w:r>
      <w:r w:rsidDel="00000000" w:rsidR="00000000" w:rsidRPr="00000000">
        <w:rPr>
          <w:b w:val="1"/>
          <w:color w:val="8496b0"/>
          <w:sz w:val="16"/>
          <w:szCs w:val="16"/>
          <w:rtl w:val="0"/>
        </w:rPr>
        <w:t xml:space="preserve">B</w:t>
      </w:r>
      <w:r w:rsidDel="00000000" w:rsidR="00000000" w:rsidRPr="00000000">
        <w:rPr>
          <w:color w:val="8496b0"/>
          <w:sz w:val="16"/>
          <w:szCs w:val="16"/>
          <w:rtl w:val="0"/>
        </w:rPr>
        <w:t xml:space="preserve">: Clinical trials, Early Trials/Case Report, Early trials, Late trials, Late trials/Pre-clinical. </w:t>
      </w:r>
      <w:r w:rsidDel="00000000" w:rsidR="00000000" w:rsidRPr="00000000">
        <w:rPr>
          <w:b w:val="1"/>
          <w:color w:val="8496b0"/>
          <w:sz w:val="16"/>
          <w:szCs w:val="16"/>
          <w:rtl w:val="0"/>
        </w:rPr>
        <w:t xml:space="preserve">C</w:t>
      </w:r>
      <w:r w:rsidDel="00000000" w:rsidR="00000000" w:rsidRPr="00000000">
        <w:rPr>
          <w:color w:val="8496b0"/>
          <w:sz w:val="16"/>
          <w:szCs w:val="16"/>
          <w:rtl w:val="0"/>
        </w:rPr>
        <w:t xml:space="preserve">: Case report. </w:t>
      </w:r>
      <w:r w:rsidDel="00000000" w:rsidR="00000000" w:rsidRPr="00000000">
        <w:rPr>
          <w:b w:val="1"/>
          <w:color w:val="8496b0"/>
          <w:sz w:val="16"/>
          <w:szCs w:val="16"/>
          <w:rtl w:val="0"/>
        </w:rPr>
        <w:t xml:space="preserve">D</w:t>
      </w:r>
      <w:r w:rsidDel="00000000" w:rsidR="00000000" w:rsidRPr="00000000">
        <w:rPr>
          <w:color w:val="8496b0"/>
          <w:sz w:val="16"/>
          <w:szCs w:val="16"/>
          <w:rtl w:val="0"/>
        </w:rPr>
        <w:t xml:space="preserve">: Pre-clinical.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before="120" w:line="264" w:lineRule="auto"/>
        <w:ind w:left="-567" w:firstLine="0"/>
        <w:rPr>
          <w:b w:val="1"/>
          <w:smallCaps w:val="1"/>
          <w:color w:val="1f386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before="120" w:line="264" w:lineRule="auto"/>
        <w:ind w:left="-567" w:firstLine="0"/>
        <w:rPr>
          <w:b w:val="1"/>
          <w:smallCaps w:val="1"/>
          <w:color w:val="1f3864"/>
          <w:sz w:val="20"/>
          <w:szCs w:val="20"/>
        </w:rPr>
      </w:pPr>
      <w:r w:rsidDel="00000000" w:rsidR="00000000" w:rsidRPr="00000000">
        <w:rPr>
          <w:b w:val="1"/>
          <w:smallCaps w:val="1"/>
          <w:color w:val="1f3864"/>
          <w:sz w:val="20"/>
          <w:szCs w:val="20"/>
          <w:rtl w:val="0"/>
        </w:rPr>
        <w:t xml:space="preserve">INDICACIÓN TERAPÉUTICA</w:t>
      </w:r>
    </w:p>
    <w:tbl>
      <w:tblPr>
        <w:tblStyle w:val="Table4"/>
        <w:tblW w:w="9526.0" w:type="dxa"/>
        <w:jc w:val="left"/>
        <w:tblInd w:w="-459.0" w:type="dxa"/>
        <w:tblBorders>
          <w:top w:color="9cc3e5" w:space="0" w:sz="4" w:val="single"/>
          <w:left w:color="00aacc" w:space="0" w:sz="8" w:val="single"/>
          <w:bottom w:color="9cc3e5" w:space="0" w:sz="4" w:val="single"/>
          <w:right w:color="00aacc" w:space="0" w:sz="8" w:val="single"/>
          <w:insideH w:color="000000" w:space="0" w:sz="0" w:val="nil"/>
          <w:insideV w:color="000000" w:space="0" w:sz="0" w:val="nil"/>
        </w:tblBorders>
        <w:tblLayout w:type="fixed"/>
        <w:tblLook w:val="04A0"/>
      </w:tblPr>
      <w:tblGrid>
        <w:gridCol w:w="9526"/>
        <w:tblGridChange w:id="0">
          <w:tblGrid>
            <w:gridCol w:w="9526"/>
          </w:tblGrid>
        </w:tblGridChange>
      </w:tblGrid>
      <w:tr>
        <w:trPr>
          <w:cantSplit w:val="1"/>
          <w:trHeight w:val="412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>
                <w:b w:val="0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Corbel" w:cs="Corbel" w:eastAsia="Corbel" w:hAnsi="Corbe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rbel" w:cs="Corbel" w:eastAsia="Corbel" w:hAnsi="Corbe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rbel" w:cs="Corbel" w:eastAsia="Corbel" w:hAnsi="Corbe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rbel" w:cs="Corbel" w:eastAsia="Corbel" w:hAnsi="Corbe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rbel" w:cs="Corbel" w:eastAsia="Corbel" w:hAnsi="Corbe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rbel" w:cs="Corbel" w:eastAsia="Corbel" w:hAnsi="Corbe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rbel" w:cs="Corbel" w:eastAsia="Corbel" w:hAnsi="Corbe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aacc" w:space="0" w:sz="24" w:val="single"/>
          <w:left w:color="00aacc" w:space="0" w:sz="24" w:val="single"/>
          <w:bottom w:color="00aacc" w:space="0" w:sz="24" w:val="single"/>
          <w:right w:color="00aacc" w:space="0" w:sz="24" w:val="single"/>
        </w:pBdr>
        <w:shd w:fill="00aacc" w:val="clear"/>
        <w:spacing w:after="0" w:before="120" w:line="264" w:lineRule="auto"/>
        <w:ind w:left="-567" w:right="-567" w:firstLine="0"/>
        <w:rPr>
          <w:b w:val="1"/>
          <w:i w:val="1"/>
          <w:smallCaps w:val="1"/>
          <w:color w:val="ffffff"/>
        </w:rPr>
      </w:pPr>
      <w:r w:rsidDel="00000000" w:rsidR="00000000" w:rsidRPr="00000000">
        <w:rPr>
          <w:b w:val="1"/>
          <w:i w:val="1"/>
          <w:smallCaps w:val="1"/>
          <w:color w:val="ffffff"/>
          <w:rtl w:val="0"/>
        </w:rPr>
        <w:t xml:space="preserve">DETALLES TÉCNICOS DEL REPORTE</w:t>
      </w:r>
    </w:p>
    <w:p w:rsidR="00000000" w:rsidDel="00000000" w:rsidP="00000000" w:rsidRDefault="00000000" w:rsidRPr="00000000" w14:paraId="00000085">
      <w:pPr>
        <w:spacing w:after="200" w:before="120" w:line="264" w:lineRule="auto"/>
        <w:ind w:left="-567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mallCaps w:val="1"/>
          <w:color w:val="1f3864"/>
          <w:sz w:val="20"/>
          <w:szCs w:val="20"/>
          <w:rtl w:val="0"/>
        </w:rPr>
        <w:t xml:space="preserve">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before="120" w:line="264" w:lineRule="auto"/>
        <w:ind w:left="-56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before="120" w:line="264" w:lineRule="auto"/>
        <w:ind w:left="-567" w:firstLine="0"/>
        <w:jc w:val="both"/>
        <w:rPr>
          <w:b w:val="1"/>
          <w:smallCaps w:val="1"/>
          <w:color w:val="1f3864"/>
          <w:sz w:val="20"/>
          <w:szCs w:val="20"/>
        </w:rPr>
      </w:pPr>
      <w:r w:rsidDel="00000000" w:rsidR="00000000" w:rsidRPr="00000000">
        <w:rPr>
          <w:b w:val="1"/>
          <w:smallCaps w:val="1"/>
          <w:color w:val="1f3864"/>
          <w:sz w:val="20"/>
          <w:szCs w:val="20"/>
          <w:rtl w:val="0"/>
        </w:rPr>
        <w:t xml:space="preserve">RESULTADOS DE LA SECUENCIACIÓN</w:t>
      </w:r>
    </w:p>
    <w:p w:rsidR="00000000" w:rsidDel="00000000" w:rsidP="00000000" w:rsidRDefault="00000000" w:rsidRPr="00000000" w14:paraId="00000088">
      <w:pPr>
        <w:spacing w:after="200" w:before="120" w:line="264" w:lineRule="auto"/>
        <w:ind w:left="-567" w:right="-568" w:firstLine="0"/>
        <w:jc w:val="both"/>
        <w:rPr>
          <w:rFonts w:ascii="Calibri" w:cs="Calibri" w:eastAsia="Calibri" w:hAnsi="Calibri"/>
          <w:b w:val="1"/>
          <w:color w:val="5b9bd5"/>
        </w:rPr>
      </w:pPr>
      <w:r w:rsidDel="00000000" w:rsidR="00000000" w:rsidRPr="00000000">
        <w:rPr>
          <w:rFonts w:ascii="Calibri" w:cs="Calibri" w:eastAsia="Calibri" w:hAnsi="Calibri"/>
          <w:b w:val="1"/>
          <w:color w:val="5b9bd5"/>
          <w:rtl w:val="0"/>
        </w:rPr>
        <w:t xml:space="preserve">Controles de calidad de secuenciación</w:t>
      </w:r>
    </w:p>
    <w:p w:rsidR="00000000" w:rsidDel="00000000" w:rsidP="00000000" w:rsidRDefault="00000000" w:rsidRPr="00000000" w14:paraId="00000089">
      <w:pPr>
        <w:spacing w:after="0" w:before="120" w:line="264" w:lineRule="auto"/>
        <w:ind w:left="-567" w:right="-568" w:firstLine="0"/>
        <w:jc w:val="both"/>
        <w:rPr>
          <w:rFonts w:ascii="Calibri" w:cs="Calibri" w:eastAsia="Calibri" w:hAnsi="Calibri"/>
          <w:color w:val="00206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2060"/>
          <w:sz w:val="20"/>
          <w:szCs w:val="20"/>
          <w:rtl w:val="0"/>
        </w:rPr>
        <w:t xml:space="preserve">Porcentaje de lecturas con Q&gt;30: </w:t>
      </w:r>
    </w:p>
    <w:p w:rsidR="00000000" w:rsidDel="00000000" w:rsidP="00000000" w:rsidRDefault="00000000" w:rsidRPr="00000000" w14:paraId="0000008A">
      <w:pPr>
        <w:spacing w:after="0" w:line="240" w:lineRule="auto"/>
        <w:ind w:left="-567" w:right="-568" w:firstLine="0"/>
        <w:rPr>
          <w:rFonts w:ascii="Calibri" w:cs="Calibri" w:eastAsia="Calibri" w:hAnsi="Calibri"/>
          <w:color w:val="00206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2060"/>
          <w:sz w:val="20"/>
          <w:szCs w:val="20"/>
          <w:rtl w:val="0"/>
        </w:rPr>
        <w:t xml:space="preserve">Profundidad promedio de lecturas: 754.0</w:t>
      </w:r>
    </w:p>
    <w:p w:rsidR="00000000" w:rsidDel="00000000" w:rsidP="00000000" w:rsidRDefault="00000000" w:rsidRPr="00000000" w14:paraId="0000008B">
      <w:pPr>
        <w:spacing w:after="0" w:line="240" w:lineRule="auto"/>
        <w:ind w:left="-567" w:right="-568" w:firstLine="0"/>
        <w:rPr>
          <w:rFonts w:ascii="Calibri" w:cs="Calibri" w:eastAsia="Calibri" w:hAnsi="Calibri"/>
          <w:color w:val="00206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2060"/>
          <w:sz w:val="20"/>
          <w:szCs w:val="20"/>
          <w:rtl w:val="0"/>
        </w:rPr>
        <w:t xml:space="preserve">Cobertura alcanzada (%): 98.0</w:t>
      </w:r>
    </w:p>
    <w:p w:rsidR="00000000" w:rsidDel="00000000" w:rsidP="00000000" w:rsidRDefault="00000000" w:rsidRPr="00000000" w14:paraId="0000008C">
      <w:pPr>
        <w:spacing w:after="0" w:line="240" w:lineRule="auto"/>
        <w:ind w:left="-567" w:right="-568" w:firstLine="0"/>
        <w:rPr>
          <w:rFonts w:ascii="Calibri" w:cs="Calibri" w:eastAsia="Calibri" w:hAnsi="Calibri"/>
          <w:smallCaps w:val="1"/>
          <w:color w:val="00206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2060"/>
          <w:sz w:val="20"/>
          <w:szCs w:val="20"/>
          <w:rtl w:val="0"/>
        </w:rPr>
        <w:t xml:space="preserve">Versión genoma de ref usado: hg19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before="120" w:line="264" w:lineRule="auto"/>
        <w:ind w:left="-567" w:right="-568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120" w:line="264" w:lineRule="auto"/>
        <w:ind w:left="-567" w:right="-568" w:firstLine="0"/>
        <w:jc w:val="both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before="120" w:line="264" w:lineRule="auto"/>
        <w:ind w:left="-567" w:right="-568" w:firstLine="0"/>
        <w:jc w:val="both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5840" w:w="12240" w:orient="portrait"/>
      <w:pgMar w:bottom="1710" w:top="1989" w:left="1843" w:right="1701" w:header="708" w:footer="2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8496b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8496b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  <w:rtl w:val="0"/>
      </w:rPr>
      <w:t xml:space="preserve">*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8496b0"/>
        <w:sz w:val="16"/>
        <w:szCs w:val="16"/>
        <w:u w:val="none"/>
        <w:shd w:fill="auto" w:val="clear"/>
        <w:vertAlign w:val="baseline"/>
        <w:rtl w:val="0"/>
      </w:rPr>
      <w:t xml:space="preserve">Ensayo sólo para uso en investigación.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  <w:rtl w:val="0"/>
      </w:rPr>
      <w:t xml:space="preserve">Dirección laboratorio 1234</w:t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  <w:rtl w:val="0"/>
      </w:rPr>
      <w:t xml:space="preserve">+56 2 22222222 – +56 2 23333333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Style w:val="Heading1"/>
      <w:spacing w:after="120" w:before="0" w:lineRule="auto"/>
      <w:jc w:val="center"/>
      <w:rPr>
        <w:b w:val="1"/>
        <w:color w:val="1f386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-329564</wp:posOffset>
          </wp:positionH>
          <wp:positionV relativeFrom="paragraph">
            <wp:posOffset>-245108</wp:posOffset>
          </wp:positionV>
          <wp:extent cx="6209665" cy="670560"/>
          <wp:effectExtent b="0" l="0" r="0" t="0"/>
          <wp:wrapTopAndBottom distB="0" distT="0"/>
          <wp:docPr id="25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09665" cy="6705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2">
    <w:pPr>
      <w:pStyle w:val="Heading1"/>
      <w:spacing w:before="0" w:lineRule="auto"/>
      <w:jc w:val="center"/>
      <w:rPr>
        <w:rFonts w:ascii="Calibri" w:cs="Calibri" w:eastAsia="Calibri" w:hAnsi="Calibri"/>
        <w:b w:val="1"/>
        <w:color w:val="0070c0"/>
        <w:vertAlign w:val="superscript"/>
      </w:rPr>
    </w:pPr>
    <w:r w:rsidDel="00000000" w:rsidR="00000000" w:rsidRPr="00000000">
      <w:rPr>
        <w:rFonts w:ascii="Calibri" w:cs="Calibri" w:eastAsia="Calibri" w:hAnsi="Calibri"/>
        <w:b w:val="1"/>
        <w:color w:val="0070c0"/>
        <w:rtl w:val="0"/>
      </w:rPr>
      <w:t xml:space="preserve">REPORTE SECUENCIACIÓN TumorSec</w:t>
    </w:r>
    <w:r w:rsidDel="00000000" w:rsidR="00000000" w:rsidRPr="00000000">
      <w:rPr>
        <w:rFonts w:ascii="Calibri" w:cs="Calibri" w:eastAsia="Calibri" w:hAnsi="Calibri"/>
        <w:b w:val="1"/>
        <w:color w:val="0070c0"/>
        <w:vertAlign w:val="superscript"/>
        <w:rtl w:val="0"/>
      </w:rPr>
      <w:t xml:space="preserve">(MR)</w:t>
    </w:r>
  </w:p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8496b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7207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9471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9471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leGrid">
    <w:name w:val="Table Grid"/>
    <w:basedOn w:val="TableNormal"/>
    <w:uiPriority w:val="39"/>
    <w:rsid w:val="0099471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1clara-nfasis11" w:customStyle="1">
    <w:name w:val="Tabla de cuadrícula 1 clara - Énfasis 11"/>
    <w:basedOn w:val="TableNormal"/>
    <w:uiPriority w:val="46"/>
    <w:rsid w:val="0099471D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Header">
    <w:name w:val="header"/>
    <w:basedOn w:val="Normal"/>
    <w:link w:val="HeaderChar"/>
    <w:uiPriority w:val="99"/>
    <w:unhideWhenUsed w:val="1"/>
    <w:rsid w:val="0099471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471D"/>
  </w:style>
  <w:style w:type="paragraph" w:styleId="Footer">
    <w:name w:val="footer"/>
    <w:basedOn w:val="Normal"/>
    <w:link w:val="FooterChar"/>
    <w:uiPriority w:val="99"/>
    <w:unhideWhenUsed w:val="1"/>
    <w:rsid w:val="0099471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471D"/>
  </w:style>
  <w:style w:type="character" w:styleId="PageNumber">
    <w:name w:val="page number"/>
    <w:basedOn w:val="DefaultParagraphFont"/>
    <w:uiPriority w:val="99"/>
    <w:semiHidden w:val="1"/>
    <w:unhideWhenUsed w:val="1"/>
    <w:rsid w:val="0099471D"/>
  </w:style>
  <w:style w:type="table" w:styleId="PlainTable11" w:customStyle="1">
    <w:name w:val="Plain Table 11"/>
    <w:basedOn w:val="TableNormal"/>
    <w:uiPriority w:val="99"/>
    <w:rsid w:val="0099471D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ListTable4-Accent5">
    <w:name w:val="List Table 4 Accent 5"/>
    <w:basedOn w:val="TableNormal"/>
    <w:uiPriority w:val="49"/>
    <w:rsid w:val="009B573B"/>
    <w:pPr>
      <w:spacing w:after="0" w:line="240" w:lineRule="auto"/>
    </w:pPr>
    <w:rPr>
      <w:color w:val="0070c0"/>
    </w:r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ListTable5Dark-Accent5">
    <w:name w:val="List Table 5 Dark Accent 5"/>
    <w:basedOn w:val="TableNormal"/>
    <w:uiPriority w:val="50"/>
    <w:rsid w:val="00CA6F5D"/>
    <w:pPr>
      <w:spacing w:after="0" w:line="240" w:lineRule="auto"/>
    </w:pPr>
    <w:rPr>
      <w:color w:val="002060"/>
    </w:rPr>
    <w:tblPr>
      <w:tblStyleRowBandSize w:val="1"/>
      <w:tblStyleColBandSize w:val="1"/>
      <w:tblBorders>
        <w:top w:color="00aacc" w:space="0" w:sz="8" w:val="single"/>
        <w:left w:color="00aacc" w:space="0" w:sz="8" w:val="single"/>
        <w:bottom w:color="00aacc" w:space="0" w:sz="8" w:val="single"/>
        <w:right w:color="00aacc" w:space="0" w:sz="8" w:val="single"/>
      </w:tblBorders>
    </w:tblPr>
    <w:tcPr>
      <w:shd w:color="auto" w:fill="a6dbfc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E95B4E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E95B4E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bottom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76D2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76D2C"/>
    <w:rPr>
      <w:rFonts w:ascii="Segoe UI" w:cs="Segoe UI" w:hAnsi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76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E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76D2C"/>
    <w:rPr>
      <w:rFonts w:ascii="Courier New" w:cs="Courier New" w:eastAsia="Times New Roman" w:hAnsi="Courier New"/>
      <w:sz w:val="20"/>
      <w:szCs w:val="20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fill="a6dbfc" w:val="clear"/>
    </w:tcPr>
    <w:tblStylePr w:type="band1Horz">
      <w:tcPr>
        <w:tcBorders>
          <w:top w:color="ffffff" w:space="0" w:sz="4" w:val="single"/>
          <w:bottom w:color="ffffff" w:space="0" w:sz="4" w:val="single"/>
        </w:tcBorders>
      </w:tcPr>
    </w:tblStylePr>
    <w:tblStylePr w:type="band1Vert">
      <w:tcPr>
        <w:tcBorders>
          <w:left w:color="ffffff" w:space="0" w:sz="4" w:val="single"/>
          <w:right w:color="ffffff" w:space="0" w:sz="4" w:val="single"/>
        </w:tcBorders>
      </w:tcPr>
    </w:tblStylePr>
    <w:tblStylePr w:type="band2Vert">
      <w:tcPr>
        <w:tcBorders>
          <w:left w:color="ffffff" w:space="0" w:sz="4" w:val="single"/>
          <w:right w:color="ffffff" w:space="0" w:sz="4" w:val="single"/>
        </w:tcBorders>
      </w:tcPr>
    </w:tblStylePr>
    <w:tblStylePr w:type="firstCol">
      <w:rPr>
        <w:b w:val="1"/>
      </w:rPr>
      <w:tcPr>
        <w:tcBorders>
          <w:right w:color="ffffff" w:space="0" w:sz="4" w:val="single"/>
        </w:tcBorders>
      </w:tcPr>
    </w:tblStylePr>
    <w:tblStylePr w:type="firstRow">
      <w:rPr>
        <w:b w:val="1"/>
      </w:rPr>
      <w:tcPr>
        <w:tcBorders>
          <w:bottom w:color="ffffff" w:space="0" w:sz="18" w:val="single"/>
        </w:tcBorders>
      </w:tcPr>
    </w:tblStylePr>
    <w:tblStylePr w:type="lastCol">
      <w:rPr>
        <w:b w:val="1"/>
      </w:rPr>
      <w:tcPr>
        <w:tcBorders>
          <w:left w:color="ffffff" w:space="0" w:sz="4" w:val="single"/>
        </w:tcBorders>
      </w:tcPr>
    </w:tblStylePr>
    <w:tblStylePr w:type="lastRow">
      <w:rPr>
        <w:b w:val="1"/>
      </w:rPr>
      <w:tcPr>
        <w:tcBorders>
          <w:top w:color="ffffff" w:space="0" w:sz="4" w:val="single"/>
        </w:tcBorders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top w:color="000000" w:space="0" w:sz="0" w:val="nil"/>
          <w:left w:color="000000" w:space="0" w:sz="0" w:val="nil"/>
        </w:tcBorders>
      </w:tcPr>
    </w:tblStylePr>
    <w:tblStylePr w:type="swCell">
      <w:tcPr>
        <w:tcBorders>
          <w:top w:color="000000" w:space="0" w:sz="0" w:val="nil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fill="a6dbfc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fill="a6dbfc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6dbfc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LxYKItlaiPjpJC6T9oFvpy03eg==">AMUW2mUVbbClQmGO2hcG18Cj6sf6whPG7V9s4zQRnPFbH3+vdntIt7HdB3vRAQozmaZBW50v5ukf/qyfezW1gJGMmuzcgEesb6flSPQkLrkJEiZKxJ710Im9rFUCMZeDIp85l4vgbg0+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2018-08-08T21:33:00Z</dcterms:created>
  <dc:creator>Felipe Ignacio Ardila Garcia (fardila)</dc:creator>
</cp:coreProperties>
</file>