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1D398" w14:textId="77777777" w:rsidR="001305EF" w:rsidRDefault="00A00BE1" w:rsidP="001305EF">
      <w:pPr>
        <w:jc w:val="both"/>
        <w:rPr>
          <w:rFonts w:ascii="Times New Roman" w:hAnsi="Times New Roman" w:cs="Times New Roman"/>
          <w:color w:val="EE0000"/>
          <w:lang w:val="en-US"/>
        </w:rPr>
      </w:pPr>
      <w:r w:rsidRPr="001305EF">
        <w:rPr>
          <w:rFonts w:ascii="Times New Roman" w:hAnsi="Times New Roman" w:cs="Times New Roman"/>
          <w:color w:val="EE0000"/>
        </w:rPr>
        <w:t>ПОСЛЕ</w:t>
      </w:r>
      <w:r w:rsidRPr="001305EF">
        <w:rPr>
          <w:rFonts w:ascii="Times New Roman" w:hAnsi="Times New Roman" w:cs="Times New Roman"/>
          <w:color w:val="EE0000"/>
          <w:lang w:val="en-US"/>
        </w:rPr>
        <w:t xml:space="preserve"> </w:t>
      </w:r>
      <w:r w:rsidRPr="001305EF">
        <w:rPr>
          <w:rFonts w:ascii="Times New Roman" w:hAnsi="Times New Roman" w:cs="Times New Roman"/>
          <w:color w:val="EE0000"/>
        </w:rPr>
        <w:t>РИС</w:t>
      </w:r>
      <w:r w:rsidRPr="001305EF">
        <w:rPr>
          <w:rFonts w:ascii="Times New Roman" w:hAnsi="Times New Roman" w:cs="Times New Roman"/>
          <w:color w:val="EE0000"/>
          <w:lang w:val="en-US"/>
        </w:rPr>
        <w:t>. 5</w:t>
      </w:r>
    </w:p>
    <w:p w14:paraId="70DF0F86" w14:textId="001F2598" w:rsidR="00A00BE1" w:rsidRPr="001305EF" w:rsidRDefault="00A00BE1" w:rsidP="001305EF">
      <w:pPr>
        <w:jc w:val="both"/>
        <w:rPr>
          <w:rFonts w:ascii="Times New Roman" w:hAnsi="Times New Roman" w:cs="Times New Roman"/>
          <w:lang w:val="en-US"/>
        </w:rPr>
      </w:pPr>
      <w:r w:rsidRPr="001305EF">
        <w:rPr>
          <w:rFonts w:ascii="Times New Roman" w:hAnsi="Times New Roman" w:cs="Times New Roman"/>
          <w:lang w:val="en-US"/>
        </w:rPr>
        <w:t>For segment 41, the value 1.0 at nonzero distance means that all 43 test samples belonging to this segment were assigned to another section. This makes segment 41 the main outlier in the topological-distance analysis. Segment 41 consists of a single pipe connecting a consumer to a branching node, resulting in fewer training examples compared to segments containing multiple pipes (N pipes x 225 defective samples per pipe). Since figure 5 aggregates errors only by topological distance, it indicates the local nature of the misclassifications but does not identify which classes are confused with each other. The corresponding ambiguity is therefore analyzed below using the class-distribution plots and confusion matrices.</w:t>
      </w:r>
    </w:p>
    <w:p w14:paraId="231AF829" w14:textId="6EEEE7E5" w:rsidR="00A00BE1" w:rsidRPr="00327197" w:rsidRDefault="00A00BE1" w:rsidP="001305EF">
      <w:pPr>
        <w:jc w:val="both"/>
        <w:rPr>
          <w:rFonts w:ascii="Times New Roman" w:hAnsi="Times New Roman" w:cs="Times New Roman"/>
          <w:color w:val="EE0000"/>
          <w:lang w:val="en-US"/>
        </w:rPr>
      </w:pPr>
      <w:r w:rsidRPr="001305EF">
        <w:rPr>
          <w:rFonts w:ascii="Times New Roman" w:hAnsi="Times New Roman" w:cs="Times New Roman"/>
          <w:color w:val="EE0000"/>
        </w:rPr>
        <w:t>ПОСЛЕ</w:t>
      </w:r>
      <w:r w:rsidRPr="001305EF">
        <w:rPr>
          <w:rFonts w:ascii="Times New Roman" w:hAnsi="Times New Roman" w:cs="Times New Roman"/>
          <w:color w:val="EE0000"/>
          <w:lang w:val="en-US"/>
        </w:rPr>
        <w:t xml:space="preserve"> </w:t>
      </w:r>
      <w:r w:rsidRPr="001305EF">
        <w:rPr>
          <w:rFonts w:ascii="Times New Roman" w:hAnsi="Times New Roman" w:cs="Times New Roman"/>
          <w:color w:val="EE0000"/>
        </w:rPr>
        <w:t>РИС</w:t>
      </w:r>
      <w:r w:rsidRPr="001305EF">
        <w:rPr>
          <w:rFonts w:ascii="Times New Roman" w:hAnsi="Times New Roman" w:cs="Times New Roman"/>
          <w:color w:val="EE0000"/>
          <w:lang w:val="en-US"/>
        </w:rPr>
        <w:t xml:space="preserve">. 8 </w:t>
      </w:r>
      <w:r w:rsidRPr="001305EF">
        <w:rPr>
          <w:rFonts w:ascii="Times New Roman" w:hAnsi="Times New Roman" w:cs="Times New Roman"/>
          <w:color w:val="EE0000"/>
        </w:rPr>
        <w:t>И</w:t>
      </w:r>
      <w:r w:rsidRPr="001305EF">
        <w:rPr>
          <w:rFonts w:ascii="Times New Roman" w:hAnsi="Times New Roman" w:cs="Times New Roman"/>
          <w:color w:val="EE0000"/>
          <w:lang w:val="en-US"/>
        </w:rPr>
        <w:t xml:space="preserve"> </w:t>
      </w:r>
      <w:r w:rsidRPr="001305EF">
        <w:rPr>
          <w:rFonts w:ascii="Times New Roman" w:hAnsi="Times New Roman" w:cs="Times New Roman"/>
          <w:color w:val="EE0000"/>
        </w:rPr>
        <w:t>ПАРАГРАФА</w:t>
      </w:r>
      <w:r w:rsidRPr="001305EF">
        <w:rPr>
          <w:rFonts w:ascii="Times New Roman" w:hAnsi="Times New Roman" w:cs="Times New Roman"/>
          <w:color w:val="EE0000"/>
          <w:lang w:val="en-US"/>
        </w:rPr>
        <w:t xml:space="preserve"> «THE CLASS-DISTRIBUTION PANELS IN FIGURES 7 AND 8 SHOW…»</w:t>
      </w:r>
      <w:r w:rsidR="00327197" w:rsidRPr="00327197">
        <w:rPr>
          <w:rFonts w:ascii="Times New Roman" w:hAnsi="Times New Roman" w:cs="Times New Roman"/>
          <w:color w:val="EE0000"/>
          <w:lang w:val="en-US"/>
        </w:rPr>
        <w:t xml:space="preserve"> </w:t>
      </w:r>
    </w:p>
    <w:p w14:paraId="537F4B4D" w14:textId="0C6EBB3E" w:rsidR="00327197" w:rsidRPr="00327197" w:rsidRDefault="00327197" w:rsidP="001305EF">
      <w:pPr>
        <w:jc w:val="both"/>
        <w:rPr>
          <w:rFonts w:ascii="Times New Roman" w:hAnsi="Times New Roman" w:cs="Times New Roman"/>
          <w:color w:val="EE0000"/>
        </w:rPr>
      </w:pPr>
      <w:r>
        <w:rPr>
          <w:rFonts w:ascii="Times New Roman" w:hAnsi="Times New Roman" w:cs="Times New Roman"/>
          <w:color w:val="EE0000"/>
        </w:rPr>
        <w:t>Часть</w:t>
      </w:r>
      <w:r w:rsidRPr="00327197">
        <w:rPr>
          <w:rFonts w:ascii="Times New Roman" w:hAnsi="Times New Roman" w:cs="Times New Roman"/>
          <w:color w:val="EE0000"/>
        </w:rPr>
        <w:t xml:space="preserve"> </w:t>
      </w:r>
      <w:r>
        <w:rPr>
          <w:rFonts w:ascii="Times New Roman" w:hAnsi="Times New Roman" w:cs="Times New Roman"/>
          <w:color w:val="EE0000"/>
        </w:rPr>
        <w:t>вплоть</w:t>
      </w:r>
      <w:r w:rsidRPr="00327197">
        <w:rPr>
          <w:rFonts w:ascii="Times New Roman" w:hAnsi="Times New Roman" w:cs="Times New Roman"/>
          <w:color w:val="EE0000"/>
        </w:rPr>
        <w:t xml:space="preserve"> </w:t>
      </w:r>
      <w:r>
        <w:rPr>
          <w:rFonts w:ascii="Times New Roman" w:hAnsi="Times New Roman" w:cs="Times New Roman"/>
          <w:color w:val="EE0000"/>
        </w:rPr>
        <w:t>до</w:t>
      </w:r>
      <w:r w:rsidRPr="00327197">
        <w:rPr>
          <w:rFonts w:ascii="Times New Roman" w:hAnsi="Times New Roman" w:cs="Times New Roman"/>
          <w:color w:val="EE0000"/>
        </w:rPr>
        <w:t xml:space="preserve"> </w:t>
      </w:r>
      <w:r>
        <w:rPr>
          <w:rFonts w:ascii="Times New Roman" w:hAnsi="Times New Roman" w:cs="Times New Roman"/>
          <w:color w:val="EE0000"/>
          <w:lang w:val="en-US"/>
        </w:rPr>
        <w:t>ablation</w:t>
      </w:r>
      <w:r w:rsidRPr="00327197">
        <w:rPr>
          <w:rFonts w:ascii="Times New Roman" w:hAnsi="Times New Roman" w:cs="Times New Roman"/>
          <w:color w:val="EE0000"/>
        </w:rPr>
        <w:t xml:space="preserve"> </w:t>
      </w:r>
      <w:r>
        <w:rPr>
          <w:rFonts w:ascii="Times New Roman" w:hAnsi="Times New Roman" w:cs="Times New Roman"/>
          <w:color w:val="EE0000"/>
          <w:lang w:val="en-US"/>
        </w:rPr>
        <w:t>studies</w:t>
      </w:r>
      <w:r w:rsidRPr="00327197">
        <w:rPr>
          <w:rFonts w:ascii="Times New Roman" w:hAnsi="Times New Roman" w:cs="Times New Roman"/>
          <w:color w:val="EE0000"/>
        </w:rPr>
        <w:t xml:space="preserve"> </w:t>
      </w:r>
      <w:r>
        <w:rPr>
          <w:rFonts w:ascii="Times New Roman" w:hAnsi="Times New Roman" w:cs="Times New Roman"/>
          <w:color w:val="EE0000"/>
        </w:rPr>
        <w:t>предлагаю заменить на совмещённое развернутое обсуждение:</w:t>
      </w:r>
    </w:p>
    <w:p w14:paraId="7FEC5338" w14:textId="47B919AE" w:rsidR="00072511" w:rsidRPr="001305EF" w:rsidRDefault="00072511" w:rsidP="001305EF">
      <w:pPr>
        <w:jc w:val="both"/>
        <w:rPr>
          <w:rFonts w:ascii="Times New Roman" w:hAnsi="Times New Roman" w:cs="Times New Roman"/>
          <w:lang w:val="en-US"/>
        </w:rPr>
      </w:pPr>
      <w:r w:rsidRPr="001305EF">
        <w:rPr>
          <w:rFonts w:ascii="Times New Roman" w:hAnsi="Times New Roman" w:cs="Times New Roman"/>
          <w:lang w:val="en-US"/>
        </w:rPr>
        <w:t xml:space="preserve">The distribution of predicted classes and the corresponding confusion matrices in Figures 7 and 8 provide more detailed information about the segment 41 outlier identified in Figures 5 and 6. For the supply subnet, the main errors are concentrated in the local group of segments 32, 36, and 41. These segments are among the most remote supply-side segments from the heat source. These segments are among the farthest supply-side segments from the heat source. As a result, the thermohydraulic signature from these segments is </w:t>
      </w:r>
      <w:proofErr w:type="spellStart"/>
      <w:r w:rsidRPr="001305EF">
        <w:rPr>
          <w:rFonts w:ascii="Times New Roman" w:hAnsi="Times New Roman" w:cs="Times New Roman"/>
          <w:lang w:val="en-US"/>
        </w:rPr>
        <w:t>attentuated</w:t>
      </w:r>
      <w:proofErr w:type="spellEnd"/>
      <w:r w:rsidRPr="001305EF">
        <w:rPr>
          <w:rFonts w:ascii="Times New Roman" w:hAnsi="Times New Roman" w:cs="Times New Roman"/>
          <w:lang w:val="en-US"/>
        </w:rPr>
        <w:t xml:space="preserve">, making defects in them less pronounced in the available observations. However, the outlier </w:t>
      </w:r>
      <w:proofErr w:type="spellStart"/>
      <w:r w:rsidRPr="001305EF">
        <w:rPr>
          <w:rFonts w:ascii="Times New Roman" w:hAnsi="Times New Roman" w:cs="Times New Roman"/>
          <w:lang w:val="en-US"/>
        </w:rPr>
        <w:t>behaviour</w:t>
      </w:r>
      <w:proofErr w:type="spellEnd"/>
      <w:r w:rsidRPr="001305EF">
        <w:rPr>
          <w:rFonts w:ascii="Times New Roman" w:hAnsi="Times New Roman" w:cs="Times New Roman"/>
          <w:lang w:val="en-US"/>
        </w:rPr>
        <w:t xml:space="preserve"> of segment 41 is not explained by distance from the heat source alone. Segments 37 and 38 are also remote, but their fault signatures remain distinguishable under the available sensor configuration.</w:t>
      </w:r>
    </w:p>
    <w:p w14:paraId="75D84880" w14:textId="77777777" w:rsidR="00072511" w:rsidRPr="001305EF" w:rsidRDefault="00072511" w:rsidP="001305EF">
      <w:pPr>
        <w:jc w:val="both"/>
        <w:rPr>
          <w:rFonts w:ascii="Times New Roman" w:hAnsi="Times New Roman" w:cs="Times New Roman"/>
          <w:lang w:val="en-US"/>
        </w:rPr>
      </w:pPr>
      <w:r w:rsidRPr="001305EF">
        <w:rPr>
          <w:rFonts w:ascii="Times New Roman" w:hAnsi="Times New Roman" w:cs="Times New Roman"/>
          <w:lang w:val="en-US"/>
        </w:rPr>
        <w:t xml:space="preserve">A more specific explanation is the combination of attenuation, unequal class representation, and sparse observability. As noted above, segment 41 is a single-pipe class, whereas segments 32 and 36 include more pipes and therefore provide more training examples. In addition, segments 32, 36, and 41 form a T-shaped group that, in the supply subnet, is observed mainly through one downstream sensor at the end of segment 41. Faults in these </w:t>
      </w:r>
      <w:proofErr w:type="spellStart"/>
      <w:r w:rsidRPr="001305EF">
        <w:rPr>
          <w:rFonts w:ascii="Times New Roman" w:hAnsi="Times New Roman" w:cs="Times New Roman"/>
          <w:lang w:val="en-US"/>
        </w:rPr>
        <w:t>neighbouring</w:t>
      </w:r>
      <w:proofErr w:type="spellEnd"/>
      <w:r w:rsidRPr="001305EF">
        <w:rPr>
          <w:rFonts w:ascii="Times New Roman" w:hAnsi="Times New Roman" w:cs="Times New Roman"/>
          <w:lang w:val="en-US"/>
        </w:rPr>
        <w:t xml:space="preserve"> segments can therefore produce similar thermohydraulic signatures, causing the model to confuse them with each other. A secondary supply-side ambiguity is also observed for segment 35, whose defects are sometimes assigned to the adjacent and larger segments 25 and 36. This follows the same general pattern of local confusion between </w:t>
      </w:r>
      <w:proofErr w:type="spellStart"/>
      <w:r w:rsidRPr="001305EF">
        <w:rPr>
          <w:rFonts w:ascii="Times New Roman" w:hAnsi="Times New Roman" w:cs="Times New Roman"/>
          <w:lang w:val="en-US"/>
        </w:rPr>
        <w:t>neighbouring</w:t>
      </w:r>
      <w:proofErr w:type="spellEnd"/>
      <w:r w:rsidRPr="001305EF">
        <w:rPr>
          <w:rFonts w:ascii="Times New Roman" w:hAnsi="Times New Roman" w:cs="Times New Roman"/>
          <w:lang w:val="en-US"/>
        </w:rPr>
        <w:t xml:space="preserve"> sections, but it is less pronounced than the segment 41 case.</w:t>
      </w:r>
    </w:p>
    <w:p w14:paraId="264C443E" w14:textId="77777777" w:rsidR="00072511" w:rsidRPr="001305EF" w:rsidRDefault="00072511" w:rsidP="001305EF">
      <w:pPr>
        <w:jc w:val="both"/>
        <w:rPr>
          <w:rFonts w:ascii="Times New Roman" w:hAnsi="Times New Roman" w:cs="Times New Roman"/>
          <w:lang w:val="en-US"/>
        </w:rPr>
      </w:pPr>
      <w:r w:rsidRPr="001305EF">
        <w:rPr>
          <w:rFonts w:ascii="Times New Roman" w:hAnsi="Times New Roman" w:cs="Times New Roman"/>
          <w:lang w:val="en-US"/>
        </w:rPr>
        <w:t>The asymmetry between the supply and return predictions for segment 41 further supports this interpretation. In the return subnet, the flow direction is reversed, and additional downstream sensor information is available along the return path. This makes disturbances originating in segments 32 and 36 more directly observable than in the supply subnet, where only the sensor at the end of segment 41 lies downstream of this group. This particular combination of segment grouping, flow direction, and sensor placement is specific to segment 41 within the considered network topology, which supports the proposed explanation for the errors observed in this segment. Thus, the segment 41 error may be interpreted as a localized ambiguity within the considered sparse monitoring scheme rather than a general model weakness.</w:t>
      </w:r>
    </w:p>
    <w:p w14:paraId="5670E685" w14:textId="534646B3" w:rsidR="00072511" w:rsidRPr="001305EF" w:rsidRDefault="00072511" w:rsidP="001305EF">
      <w:pPr>
        <w:jc w:val="both"/>
        <w:rPr>
          <w:rFonts w:ascii="Times New Roman" w:hAnsi="Times New Roman" w:cs="Times New Roman"/>
          <w:lang w:val="en-US"/>
        </w:rPr>
      </w:pPr>
      <w:r w:rsidRPr="001305EF">
        <w:rPr>
          <w:rFonts w:ascii="Times New Roman" w:hAnsi="Times New Roman" w:cs="Times New Roman"/>
          <w:lang w:val="en-US"/>
        </w:rPr>
        <w:t xml:space="preserve">For the return subnet more broadly, the misclassifications are more diffuse and scattered across several classes. This pattern is consistent with the narrower range of dynamic temperature and </w:t>
      </w:r>
      <w:r w:rsidRPr="001305EF">
        <w:rPr>
          <w:rFonts w:ascii="Times New Roman" w:hAnsi="Times New Roman" w:cs="Times New Roman"/>
          <w:lang w:val="en-US"/>
        </w:rPr>
        <w:lastRenderedPageBreak/>
        <w:t xml:space="preserve">pressure values in the return line, where class-specific fault signatures become less </w:t>
      </w:r>
      <w:r w:rsidRPr="001305EF">
        <w:rPr>
          <w:rFonts w:ascii="Times New Roman" w:hAnsi="Times New Roman" w:cs="Times New Roman"/>
          <w:lang w:val="en-US"/>
        </w:rPr>
        <w:t>pronounced</w:t>
      </w:r>
      <w:r w:rsidRPr="001305EF">
        <w:rPr>
          <w:rFonts w:ascii="Times New Roman" w:hAnsi="Times New Roman" w:cs="Times New Roman"/>
          <w:lang w:val="en-US"/>
        </w:rPr>
        <w:t xml:space="preserve"> relative to background variability. In particular, return-subnet segment 0 is often confused with nearby segments 1, 2, and 4. This segment is located close to the return-side boundary node, where the heat carrier has already passed through the network and the thermal and hydraulic responses are smoother. In addition, segment 0 contains several long pipes, so disturbances originating in adjacent sections can produce similar aggregate signatures and be assigned to this segment.</w:t>
      </w:r>
    </w:p>
    <w:p w14:paraId="252F78F0" w14:textId="77777777" w:rsidR="00072511" w:rsidRPr="001305EF" w:rsidRDefault="00072511" w:rsidP="001305EF">
      <w:pPr>
        <w:jc w:val="both"/>
        <w:rPr>
          <w:rFonts w:ascii="Times New Roman" w:hAnsi="Times New Roman" w:cs="Times New Roman"/>
          <w:lang w:val="en-US"/>
        </w:rPr>
      </w:pPr>
      <w:r w:rsidRPr="001305EF">
        <w:rPr>
          <w:rFonts w:ascii="Times New Roman" w:hAnsi="Times New Roman" w:cs="Times New Roman"/>
          <w:lang w:val="en-US"/>
        </w:rPr>
        <w:t>The observed error pattern may also be informative from a monitoring design perspective. The high overall accuracy and local structure of the errors indicate that useful localization can be achieved with a limited set of suitably placed sensors, which is consistent with the optimal sensor placement concept discussed by Rosich et al. [30]. At the same time, the largest localization errors measured along the pipe network are concentrated in the same local region where the confusion matrices indicate ambiguity between sections 32, 36, and 41. This suggests that the present sensor layout provides insufficient observability for this particular T-shaped group. The junction connecting these sections is therefore a natural candidate location for an additional measurement point.</w:t>
      </w:r>
    </w:p>
    <w:p w14:paraId="63C809DB" w14:textId="77777777" w:rsidR="00327197" w:rsidRPr="00327197" w:rsidRDefault="00072511" w:rsidP="001305EF">
      <w:pPr>
        <w:jc w:val="both"/>
        <w:rPr>
          <w:rFonts w:ascii="Times New Roman" w:hAnsi="Times New Roman" w:cs="Times New Roman"/>
          <w:lang w:val="en-US"/>
        </w:rPr>
      </w:pPr>
      <w:r w:rsidRPr="001305EF">
        <w:rPr>
          <w:rFonts w:ascii="Times New Roman" w:hAnsi="Times New Roman" w:cs="Times New Roman"/>
          <w:lang w:val="en-US"/>
        </w:rPr>
        <w:t xml:space="preserve">More generally, a calibrated thermohydraulic model and a trained fault localization model can be used as a heuristic approach for sparse sensor augmentation. Since simulated states are available for the full network before sensor masking, candidate sensor layouts can be emulated by retaining measurements only at selected nodes. These layouts can then be compared by checking whether recurring confusions between </w:t>
      </w:r>
      <w:proofErr w:type="spellStart"/>
      <w:r w:rsidRPr="001305EF">
        <w:rPr>
          <w:rFonts w:ascii="Times New Roman" w:hAnsi="Times New Roman" w:cs="Times New Roman"/>
          <w:lang w:val="en-US"/>
        </w:rPr>
        <w:t>neighbouring</w:t>
      </w:r>
      <w:proofErr w:type="spellEnd"/>
      <w:r w:rsidRPr="001305EF">
        <w:rPr>
          <w:rFonts w:ascii="Times New Roman" w:hAnsi="Times New Roman" w:cs="Times New Roman"/>
          <w:lang w:val="en-US"/>
        </w:rPr>
        <w:t xml:space="preserve"> sections decrease. If the same local group of sections remains difficult to separate, it can be treated as insufficiently observable and considered for the placement of additional sensors. This procedure does not replace formal optimal sensor placement, but it can provide a simulation-based supporting tool for testing candidate layouts and selecting promising sensor locations under limits on the number of sensors.</w:t>
      </w:r>
    </w:p>
    <w:p w14:paraId="4FA102E3" w14:textId="292AA350" w:rsidR="00A00BE1" w:rsidRPr="001305EF" w:rsidRDefault="00A00BE1" w:rsidP="001305EF">
      <w:pPr>
        <w:jc w:val="both"/>
        <w:rPr>
          <w:rFonts w:ascii="Times New Roman" w:hAnsi="Times New Roman" w:cs="Times New Roman"/>
          <w:color w:val="EE0000"/>
        </w:rPr>
      </w:pPr>
      <w:r w:rsidRPr="001305EF">
        <w:rPr>
          <w:rFonts w:ascii="Times New Roman" w:hAnsi="Times New Roman" w:cs="Times New Roman"/>
          <w:color w:val="EE0000"/>
        </w:rPr>
        <w:t>В ЗАКЛЮЧЕНИИ</w:t>
      </w:r>
    </w:p>
    <w:p w14:paraId="72524D01" w14:textId="77777777" w:rsidR="001305EF" w:rsidRDefault="00A00BE1" w:rsidP="001305EF">
      <w:pPr>
        <w:jc w:val="both"/>
        <w:rPr>
          <w:rFonts w:ascii="Times New Roman" w:hAnsi="Times New Roman" w:cs="Times New Roman"/>
          <w:color w:val="EE0000"/>
          <w:lang w:val="en-US"/>
        </w:rPr>
      </w:pPr>
      <w:r w:rsidRPr="001305EF">
        <w:rPr>
          <w:rFonts w:ascii="Times New Roman" w:hAnsi="Times New Roman" w:cs="Times New Roman"/>
          <w:color w:val="EE0000"/>
        </w:rPr>
        <w:t>Вместо</w:t>
      </w:r>
    </w:p>
    <w:p w14:paraId="056A1736" w14:textId="6E41EDF2" w:rsidR="00A00BE1" w:rsidRPr="001305EF" w:rsidRDefault="001305EF" w:rsidP="001305EF">
      <w:pPr>
        <w:jc w:val="both"/>
        <w:rPr>
          <w:rFonts w:ascii="Times New Roman" w:hAnsi="Times New Roman" w:cs="Times New Roman"/>
          <w:lang w:val="en-US"/>
        </w:rPr>
      </w:pPr>
      <w:r w:rsidRPr="001305EF">
        <w:rPr>
          <w:rFonts w:ascii="Times New Roman" w:hAnsi="Times New Roman" w:cs="Times New Roman"/>
          <w:i/>
          <w:iCs/>
          <w:lang w:val="en-US"/>
        </w:rPr>
        <w:t>The distance confusion matrix reveals that most errors are localized within a topological distance of 1–2 sections from the actual defect. This confirms that the model implicitly captures the attenuation of hydraulic and thermal disturbances along the network topology.</w:t>
      </w:r>
    </w:p>
    <w:p w14:paraId="21978EF7" w14:textId="4F31E21B" w:rsidR="001305EF" w:rsidRPr="001305EF" w:rsidRDefault="001305EF" w:rsidP="001305EF">
      <w:pPr>
        <w:jc w:val="both"/>
        <w:rPr>
          <w:rFonts w:ascii="Times New Roman" w:hAnsi="Times New Roman" w:cs="Times New Roman"/>
          <w:color w:val="EE0000"/>
        </w:rPr>
      </w:pPr>
      <w:r w:rsidRPr="001305EF">
        <w:rPr>
          <w:rFonts w:ascii="Times New Roman" w:hAnsi="Times New Roman" w:cs="Times New Roman"/>
          <w:color w:val="EE0000"/>
        </w:rPr>
        <w:t>Предлагаю</w:t>
      </w:r>
    </w:p>
    <w:p w14:paraId="4D2E0176" w14:textId="77777777" w:rsidR="001305EF" w:rsidRDefault="001305EF" w:rsidP="001305EF">
      <w:pPr>
        <w:jc w:val="both"/>
        <w:rPr>
          <w:rFonts w:ascii="Times New Roman" w:hAnsi="Times New Roman" w:cs="Times New Roman"/>
          <w:lang w:val="en-US"/>
        </w:rPr>
      </w:pPr>
      <w:r w:rsidRPr="001305EF">
        <w:rPr>
          <w:rFonts w:ascii="Times New Roman" w:hAnsi="Times New Roman" w:cs="Times New Roman"/>
          <w:lang w:val="en-US"/>
        </w:rPr>
        <w:t>The distance confusion matrix reveals that most errors are localized within a topological distance of 1-2 sections from the actual defect, indicating that the model captures the attenuation of hydraulic and thermal disturbances along the network topology while still exhibiting local ambiguities in poorly observed regions.</w:t>
      </w:r>
    </w:p>
    <w:p w14:paraId="146A6D30" w14:textId="78FAEFBE" w:rsidR="001305EF" w:rsidRPr="001305EF" w:rsidRDefault="001305EF" w:rsidP="001305EF">
      <w:pPr>
        <w:jc w:val="both"/>
        <w:rPr>
          <w:rFonts w:ascii="Times New Roman" w:hAnsi="Times New Roman" w:cs="Times New Roman"/>
          <w:lang w:val="en-US"/>
        </w:rPr>
      </w:pPr>
      <w:r w:rsidRPr="001305EF">
        <w:rPr>
          <w:rFonts w:ascii="Times New Roman" w:hAnsi="Times New Roman" w:cs="Times New Roman"/>
          <w:color w:val="EE0000"/>
          <w:lang w:val="en-US"/>
        </w:rPr>
        <w:t>«</w:t>
      </w:r>
      <w:r w:rsidRPr="001305EF">
        <w:rPr>
          <w:rFonts w:ascii="Times New Roman" w:hAnsi="Times New Roman" w:cs="Times New Roman"/>
          <w:color w:val="EE0000"/>
        </w:rPr>
        <w:t>Синий</w:t>
      </w:r>
      <w:r w:rsidRPr="001305EF">
        <w:rPr>
          <w:rFonts w:ascii="Times New Roman" w:hAnsi="Times New Roman" w:cs="Times New Roman"/>
          <w:color w:val="EE0000"/>
          <w:lang w:val="en-US"/>
        </w:rPr>
        <w:t xml:space="preserve">» </w:t>
      </w:r>
      <w:r w:rsidRPr="001305EF">
        <w:rPr>
          <w:rFonts w:ascii="Times New Roman" w:hAnsi="Times New Roman" w:cs="Times New Roman"/>
          <w:color w:val="EE0000"/>
        </w:rPr>
        <w:t>параграф</w:t>
      </w:r>
      <w:r w:rsidRPr="001305EF">
        <w:rPr>
          <w:rFonts w:ascii="Times New Roman" w:hAnsi="Times New Roman" w:cs="Times New Roman"/>
          <w:color w:val="EE0000"/>
          <w:lang w:val="en-US"/>
        </w:rPr>
        <w:t xml:space="preserve"> </w:t>
      </w:r>
      <w:r w:rsidRPr="001305EF">
        <w:rPr>
          <w:rFonts w:ascii="Times New Roman" w:hAnsi="Times New Roman" w:cs="Times New Roman"/>
          <w:color w:val="EE0000"/>
        </w:rPr>
        <w:t>предлагаю</w:t>
      </w:r>
      <w:r w:rsidRPr="001305EF">
        <w:rPr>
          <w:rFonts w:ascii="Times New Roman" w:hAnsi="Times New Roman" w:cs="Times New Roman"/>
          <w:color w:val="EE0000"/>
          <w:lang w:val="en-US"/>
        </w:rPr>
        <w:t xml:space="preserve"> </w:t>
      </w:r>
      <w:r w:rsidRPr="001305EF">
        <w:rPr>
          <w:rFonts w:ascii="Times New Roman" w:hAnsi="Times New Roman" w:cs="Times New Roman"/>
          <w:color w:val="EE0000"/>
        </w:rPr>
        <w:t>заменить</w:t>
      </w:r>
      <w:r w:rsidRPr="001305EF">
        <w:rPr>
          <w:rFonts w:ascii="Times New Roman" w:hAnsi="Times New Roman" w:cs="Times New Roman"/>
          <w:color w:val="EE0000"/>
          <w:lang w:val="en-US"/>
        </w:rPr>
        <w:t xml:space="preserve"> </w:t>
      </w:r>
      <w:r w:rsidRPr="001305EF">
        <w:rPr>
          <w:rFonts w:ascii="Times New Roman" w:hAnsi="Times New Roman" w:cs="Times New Roman"/>
          <w:color w:val="EE0000"/>
        </w:rPr>
        <w:t>на</w:t>
      </w:r>
    </w:p>
    <w:p w14:paraId="630AEA96" w14:textId="2958A081" w:rsidR="001305EF" w:rsidRPr="001305EF" w:rsidRDefault="001305EF" w:rsidP="001305EF">
      <w:pPr>
        <w:jc w:val="both"/>
        <w:rPr>
          <w:rFonts w:ascii="Times New Roman" w:hAnsi="Times New Roman" w:cs="Times New Roman"/>
          <w:lang w:val="en-US"/>
        </w:rPr>
      </w:pPr>
      <w:r w:rsidRPr="001305EF">
        <w:rPr>
          <w:rFonts w:ascii="Times New Roman" w:hAnsi="Times New Roman" w:cs="Times New Roman"/>
          <w:lang w:val="en-US"/>
        </w:rPr>
        <w:t>The error analysis also suggests an additional use of the proposed framework for sensor-layout assessment. Although most misclassifications remain topologically local, the recurring confusion between sections 32, 36, and 41 indicates a local observability limitation under the current sparse monitoring scheme. Such persistent confusion patterns can help identify candidate locations for additional sensors and provide a simulation-based approach for future sensor-placement studies.</w:t>
      </w:r>
    </w:p>
    <w:sectPr w:rsidR="001305EF" w:rsidRPr="001305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9CD"/>
    <w:rsid w:val="00072511"/>
    <w:rsid w:val="001305EF"/>
    <w:rsid w:val="001B5A04"/>
    <w:rsid w:val="002315CB"/>
    <w:rsid w:val="00327197"/>
    <w:rsid w:val="004201EC"/>
    <w:rsid w:val="008633B4"/>
    <w:rsid w:val="00A00BE1"/>
    <w:rsid w:val="00A56EC9"/>
    <w:rsid w:val="00B649CD"/>
    <w:rsid w:val="00C5166D"/>
    <w:rsid w:val="00CB0826"/>
    <w:rsid w:val="00DB10A3"/>
    <w:rsid w:val="00E803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8AAA1"/>
  <w15:chartTrackingRefBased/>
  <w15:docId w15:val="{2266F725-042D-44A3-93B2-992C672A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166D"/>
  </w:style>
  <w:style w:type="paragraph" w:styleId="1">
    <w:name w:val="heading 1"/>
    <w:basedOn w:val="a"/>
    <w:next w:val="a"/>
    <w:link w:val="10"/>
    <w:uiPriority w:val="9"/>
    <w:qFormat/>
    <w:rsid w:val="00B64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64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649C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649C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649C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649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49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49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49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49C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649C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649C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649C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649C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649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49CD"/>
    <w:rPr>
      <w:rFonts w:eastAsiaTheme="majorEastAsia" w:cstheme="majorBidi"/>
      <w:color w:val="595959" w:themeColor="text1" w:themeTint="A6"/>
    </w:rPr>
  </w:style>
  <w:style w:type="character" w:customStyle="1" w:styleId="80">
    <w:name w:val="Заголовок 8 Знак"/>
    <w:basedOn w:val="a0"/>
    <w:link w:val="8"/>
    <w:uiPriority w:val="9"/>
    <w:semiHidden/>
    <w:rsid w:val="00B649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49CD"/>
    <w:rPr>
      <w:rFonts w:eastAsiaTheme="majorEastAsia" w:cstheme="majorBidi"/>
      <w:color w:val="272727" w:themeColor="text1" w:themeTint="D8"/>
    </w:rPr>
  </w:style>
  <w:style w:type="paragraph" w:styleId="a3">
    <w:name w:val="Title"/>
    <w:basedOn w:val="a"/>
    <w:next w:val="a"/>
    <w:link w:val="a4"/>
    <w:uiPriority w:val="10"/>
    <w:qFormat/>
    <w:rsid w:val="00B64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49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49C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649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649CD"/>
    <w:pPr>
      <w:spacing w:before="160"/>
      <w:jc w:val="center"/>
    </w:pPr>
    <w:rPr>
      <w:i/>
      <w:iCs/>
      <w:color w:val="404040" w:themeColor="text1" w:themeTint="BF"/>
    </w:rPr>
  </w:style>
  <w:style w:type="character" w:customStyle="1" w:styleId="22">
    <w:name w:val="Цитата 2 Знак"/>
    <w:basedOn w:val="a0"/>
    <w:link w:val="21"/>
    <w:uiPriority w:val="29"/>
    <w:rsid w:val="00B649CD"/>
    <w:rPr>
      <w:i/>
      <w:iCs/>
      <w:color w:val="404040" w:themeColor="text1" w:themeTint="BF"/>
    </w:rPr>
  </w:style>
  <w:style w:type="paragraph" w:styleId="a7">
    <w:name w:val="List Paragraph"/>
    <w:basedOn w:val="a"/>
    <w:uiPriority w:val="34"/>
    <w:qFormat/>
    <w:rsid w:val="00B649CD"/>
    <w:pPr>
      <w:ind w:left="720"/>
      <w:contextualSpacing/>
    </w:pPr>
  </w:style>
  <w:style w:type="character" w:styleId="a8">
    <w:name w:val="Intense Emphasis"/>
    <w:basedOn w:val="a0"/>
    <w:uiPriority w:val="21"/>
    <w:qFormat/>
    <w:rsid w:val="00B649CD"/>
    <w:rPr>
      <w:i/>
      <w:iCs/>
      <w:color w:val="2F5496" w:themeColor="accent1" w:themeShade="BF"/>
    </w:rPr>
  </w:style>
  <w:style w:type="paragraph" w:styleId="a9">
    <w:name w:val="Intense Quote"/>
    <w:basedOn w:val="a"/>
    <w:next w:val="a"/>
    <w:link w:val="aa"/>
    <w:uiPriority w:val="30"/>
    <w:qFormat/>
    <w:rsid w:val="00B64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649CD"/>
    <w:rPr>
      <w:i/>
      <w:iCs/>
      <w:color w:val="2F5496" w:themeColor="accent1" w:themeShade="BF"/>
    </w:rPr>
  </w:style>
  <w:style w:type="character" w:styleId="ab">
    <w:name w:val="Intense Reference"/>
    <w:basedOn w:val="a0"/>
    <w:uiPriority w:val="32"/>
    <w:qFormat/>
    <w:rsid w:val="00B649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1041</Words>
  <Characters>5938</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Gobyzov</dc:creator>
  <cp:keywords/>
  <dc:description/>
  <cp:lastModifiedBy>Oleg Gobyzov</cp:lastModifiedBy>
  <cp:revision>2</cp:revision>
  <dcterms:created xsi:type="dcterms:W3CDTF">2026-06-02T20:21:00Z</dcterms:created>
  <dcterms:modified xsi:type="dcterms:W3CDTF">2026-06-02T22:21:00Z</dcterms:modified>
</cp:coreProperties>
</file>