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56FE21A1" w:rsidR="007037A6" w:rsidRDefault="005622A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6226B7F2" wp14:editId="15AB1AFE">
            <wp:simplePos x="0" y="0"/>
            <wp:positionH relativeFrom="page">
              <wp:posOffset>6350</wp:posOffset>
            </wp:positionH>
            <wp:positionV relativeFrom="page">
              <wp:posOffset>6350</wp:posOffset>
            </wp:positionV>
            <wp:extent cx="7562850" cy="4619264"/>
            <wp:effectExtent l="0" t="0" r="0" b="0"/>
            <wp:wrapTopAndBottom/>
            <wp:docPr id="2085013233" name="Picture 1" descr="A person sitting on a chair with a device attached to his kn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descr="A person sitting on a chair with a device attached to his knee&#10;&#10;Description automatically generated"/>
                    <pic:cNvPicPr/>
                  </pic:nvPicPr>
                  <pic:blipFill rotWithShape="1">
                    <a:blip r:embed="rId11" cstate="screen">
                      <a:extLst>
                        <a:ext uri="{28A0092B-C50C-407E-A947-70E740481C1C}">
                          <a14:useLocalDpi xmlns:a14="http://schemas.microsoft.com/office/drawing/2010/main"/>
                        </a:ext>
                      </a:extLst>
                    </a:blip>
                    <a:srcRect t="-2"/>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Pr>
          <w:b/>
          <w:bCs/>
          <w:noProof/>
          <w:sz w:val="32"/>
          <w:szCs w:val="32"/>
          <w:lang w:val="en-GB"/>
        </w:rPr>
        <mc:AlternateContent>
          <mc:Choice Requires="wps">
            <w:drawing>
              <wp:anchor distT="0" distB="0" distL="114300" distR="114300" simplePos="0" relativeHeight="251661312" behindDoc="0" locked="0" layoutInCell="1" allowOverlap="1" wp14:anchorId="55931C04" wp14:editId="408F5BD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608917E7" w:rsidR="00534110" w:rsidRPr="00C92D53" w:rsidRDefault="00437726" w:rsidP="00C92D53">
                            <w:pPr>
                              <w:pStyle w:val="Summary"/>
                              <w:jc w:val="both"/>
                              <w:rPr>
                                <w:sz w:val="32"/>
                                <w:szCs w:val="22"/>
                              </w:rPr>
                            </w:pPr>
                            <w:r>
                              <w:rPr>
                                <w:sz w:val="32"/>
                                <w:szCs w:val="22"/>
                              </w:rPr>
                              <w:t xml:space="preserve">This protocol is a study of the </w:t>
                            </w:r>
                            <w:r w:rsidR="009064E8">
                              <w:rPr>
                                <w:sz w:val="32"/>
                                <w:szCs w:val="22"/>
                              </w:rPr>
                              <w:t xml:space="preserve">correlation </w:t>
                            </w:r>
                            <w:r>
                              <w:rPr>
                                <w:sz w:val="32"/>
                                <w:szCs w:val="22"/>
                              </w:rPr>
                              <w:t xml:space="preserve">between depression, anxiety, and stress, and mechanism-based </w:t>
                            </w:r>
                            <w:r w:rsidR="000E03E3">
                              <w:rPr>
                                <w:sz w:val="32"/>
                                <w:szCs w:val="22"/>
                              </w:rPr>
                              <w:t xml:space="preserve">outcomes from pain profiling with cuff pressure algometry.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608917E7" w:rsidR="00534110" w:rsidRPr="00C92D53" w:rsidRDefault="00437726" w:rsidP="00C92D53">
                      <w:pPr>
                        <w:pStyle w:val="Summary"/>
                        <w:jc w:val="both"/>
                        <w:rPr>
                          <w:sz w:val="32"/>
                          <w:szCs w:val="22"/>
                        </w:rPr>
                      </w:pPr>
                      <w:r>
                        <w:rPr>
                          <w:sz w:val="32"/>
                          <w:szCs w:val="22"/>
                        </w:rPr>
                        <w:t xml:space="preserve">This protocol is a study of the </w:t>
                      </w:r>
                      <w:r w:rsidR="009064E8">
                        <w:rPr>
                          <w:sz w:val="32"/>
                          <w:szCs w:val="22"/>
                        </w:rPr>
                        <w:t xml:space="preserve">correlation </w:t>
                      </w:r>
                      <w:r>
                        <w:rPr>
                          <w:sz w:val="32"/>
                          <w:szCs w:val="22"/>
                        </w:rPr>
                        <w:t xml:space="preserve">between depression, anxiety, and stress, and mechanism-based </w:t>
                      </w:r>
                      <w:r w:rsidR="000E03E3">
                        <w:rPr>
                          <w:sz w:val="32"/>
                          <w:szCs w:val="22"/>
                        </w:rPr>
                        <w:t xml:space="preserve">outcomes from pain profiling with cuff pressure algometry.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Default="00625F4E" w:rsidP="00D50789">
      <w:pPr>
        <w:tabs>
          <w:tab w:val="left" w:pos="2568"/>
        </w:tabs>
        <w:rPr>
          <w:b/>
          <w:bCs/>
          <w:sz w:val="32"/>
          <w:szCs w:val="32"/>
          <w:lang w:val="en-GB"/>
        </w:rPr>
      </w:pPr>
      <w:r>
        <w:rPr>
          <w:noProof/>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Pr>
          <w:b/>
          <w:bCs/>
          <w:sz w:val="32"/>
          <w:szCs w:val="32"/>
          <w:lang w:val="en-GB"/>
        </w:rPr>
        <w:tab/>
      </w:r>
    </w:p>
    <w:p w14:paraId="7B8A9120" w14:textId="64C8E1A3" w:rsidR="008C3DEE" w:rsidRDefault="008C3DEE" w:rsidP="00D508F6">
      <w:pPr>
        <w:jc w:val="center"/>
        <w:rPr>
          <w:b/>
          <w:bCs/>
          <w:sz w:val="32"/>
          <w:szCs w:val="32"/>
          <w:lang w:val="en-GB"/>
        </w:rPr>
      </w:pPr>
    </w:p>
    <w:p w14:paraId="52C0BC83" w14:textId="62BD2AA8" w:rsidR="008B199B" w:rsidRPr="009057C7" w:rsidRDefault="008B199B" w:rsidP="008B199B">
      <w:pPr>
        <w:pStyle w:val="Heading1"/>
        <w:rPr>
          <w:sz w:val="24"/>
          <w:szCs w:val="24"/>
          <w:lang w:val="en-GB"/>
        </w:rPr>
      </w:pPr>
      <w:bookmarkStart w:id="1" w:name="_Toc164513525"/>
      <w:bookmarkEnd w:id="0"/>
      <w:r w:rsidRPr="009057C7">
        <w:rPr>
          <w:sz w:val="24"/>
          <w:szCs w:val="24"/>
          <w:lang w:val="en-GB"/>
        </w:rPr>
        <w:lastRenderedPageBreak/>
        <w:t>Introduction</w:t>
      </w:r>
      <w:bookmarkEnd w:id="1"/>
    </w:p>
    <w:p w14:paraId="4C7B78D2" w14:textId="77777777" w:rsidR="008914E9" w:rsidRDefault="008914E9" w:rsidP="002A1628"/>
    <w:p w14:paraId="3361FC5E" w14:textId="27DDAD7E" w:rsidR="008B199B" w:rsidRPr="009057C7" w:rsidRDefault="008B199B" w:rsidP="008B199B">
      <w:pPr>
        <w:pStyle w:val="Heading1"/>
        <w:rPr>
          <w:sz w:val="24"/>
          <w:szCs w:val="24"/>
          <w:lang w:val="en-GB"/>
        </w:rPr>
      </w:pPr>
      <w:bookmarkStart w:id="2" w:name="_Toc164513526"/>
      <w:r w:rsidRPr="009057C7">
        <w:rPr>
          <w:sz w:val="24"/>
          <w:szCs w:val="24"/>
          <w:lang w:val="en-GB"/>
        </w:rPr>
        <w:t>Experimental Setup</w:t>
      </w:r>
      <w:bookmarkEnd w:id="2"/>
    </w:p>
    <w:p w14:paraId="4CE90E40" w14:textId="77777777" w:rsidR="008914E9" w:rsidRDefault="008914E9" w:rsidP="008C6C9A"/>
    <w:p w14:paraId="5765032F" w14:textId="72BE56DD" w:rsidR="00EA74C0" w:rsidRDefault="00EA74C0">
      <w:pPr>
        <w:jc w:val="left"/>
        <w:rPr>
          <w:szCs w:val="24"/>
        </w:rPr>
      </w:pPr>
    </w:p>
    <w:p w14:paraId="095315D4" w14:textId="18E180FB" w:rsidR="008B199B" w:rsidRDefault="008B199B" w:rsidP="008B199B">
      <w:pPr>
        <w:pStyle w:val="Heading1"/>
        <w:rPr>
          <w:sz w:val="24"/>
          <w:szCs w:val="24"/>
          <w:lang w:val="en-GB"/>
        </w:rPr>
      </w:pPr>
      <w:bookmarkStart w:id="3" w:name="_Toc164513527"/>
      <w:r w:rsidRPr="009057C7">
        <w:rPr>
          <w:sz w:val="24"/>
          <w:szCs w:val="24"/>
          <w:lang w:val="en-GB"/>
        </w:rPr>
        <w:t>Protocol</w:t>
      </w:r>
      <w:bookmarkEnd w:id="3"/>
    </w:p>
    <w:p w14:paraId="3C1EDAE0" w14:textId="75F90529" w:rsidR="0076728D" w:rsidRDefault="0076728D" w:rsidP="007A0387"/>
    <w:p w14:paraId="3C30D892" w14:textId="77777777" w:rsidR="007A0387" w:rsidRDefault="007A0387" w:rsidP="007A0387"/>
    <w:p w14:paraId="48223507" w14:textId="1EBD4187" w:rsidR="00F833F4" w:rsidRDefault="00F833F4" w:rsidP="00F833F4">
      <w:pPr>
        <w:pStyle w:val="Heading1"/>
      </w:pPr>
      <w:r>
        <w:t>Using the protocol</w:t>
      </w:r>
    </w:p>
    <w:p w14:paraId="4358832F" w14:textId="3F9BB7E5" w:rsidR="00F833F4" w:rsidRDefault="00F833F4" w:rsidP="00F833F4">
      <w:r>
        <w:t xml:space="preserve">The protocol can be installed from the (labbench.io) repository, which is available </w:t>
      </w:r>
      <w:r w:rsidR="009B4327">
        <w:t>by</w:t>
      </w:r>
      <w:r>
        <w:t xml:space="preserve"> default when LabBench is installed. </w:t>
      </w:r>
    </w:p>
    <w:p w14:paraId="44E3CDA7" w14:textId="06C8623F" w:rsidR="00C401C0" w:rsidRDefault="00C401C0" w:rsidP="00C401C0">
      <w:pPr>
        <w:pStyle w:val="Heading2"/>
      </w:pPr>
      <w:r>
        <w:t>Required devices</w:t>
      </w:r>
    </w:p>
    <w:p w14:paraId="527E2C96" w14:textId="77777777" w:rsidR="00C401C0" w:rsidRPr="00C401C0" w:rsidRDefault="00C401C0" w:rsidP="00C401C0"/>
    <w:p w14:paraId="2C359346" w14:textId="2E30E050" w:rsidR="00F51801" w:rsidRDefault="00F51801" w:rsidP="00F833F4">
      <w:r>
        <w:t xml:space="preserve">Before the protocol can be installed </w:t>
      </w:r>
      <w:r w:rsidR="009755E0">
        <w:t xml:space="preserve">a LabBench I/O device </w:t>
      </w:r>
      <w:r>
        <w:t>must first be added to the LabBench installation (see Figure X).</w:t>
      </w:r>
      <w:r w:rsidR="009755E0">
        <w:t xml:space="preserve"> First start the LabBench Designer, to check that a LabBench I/O device is present or to add such a device if it is not</w:t>
      </w:r>
      <w:r w:rsidR="009B4327">
        <w:t>, and then: 1) Select the Protocols Page, 2) Select the LabBench I/O device, 3) check that a LabBench I/O device is installed and available.</w:t>
      </w:r>
    </w:p>
    <w:p w14:paraId="1C7130D3" w14:textId="469A1CE9" w:rsidR="009B4327" w:rsidRDefault="009B4327" w:rsidP="00F833F4">
      <w:r>
        <w:t xml:space="preserve">If a LabBench I/O device is not </w:t>
      </w:r>
      <w:r w:rsidR="00CE2E18">
        <w:t>installed,</w:t>
      </w:r>
      <w:r>
        <w:t xml:space="preserve"> then install one by first ensuring that the device is connected to the computer and then clicking on the (+) add device button.</w:t>
      </w:r>
    </w:p>
    <w:p w14:paraId="4013EB79" w14:textId="1F2C0051" w:rsidR="001C4886" w:rsidRPr="00F833F4" w:rsidRDefault="00FC72C7" w:rsidP="001C4886">
      <w:pPr>
        <w:jc w:val="center"/>
      </w:pPr>
      <w:r>
        <w:rPr>
          <w:noProof/>
        </w:rPr>
        <w:lastRenderedPageBreak/>
        <w:drawing>
          <wp:inline distT="0" distB="0" distL="0" distR="0" wp14:anchorId="7614D720" wp14:editId="0A663556">
            <wp:extent cx="5735244" cy="3314700"/>
            <wp:effectExtent l="0" t="0" r="0" b="0"/>
            <wp:docPr id="14647108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0876" name="Picture 3" descr="A screenshot of a computer&#10;&#10;Description automatically generated"/>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43891" cy="3319697"/>
                    </a:xfrm>
                    <a:prstGeom prst="rect">
                      <a:avLst/>
                    </a:prstGeom>
                    <a:ln>
                      <a:noFill/>
                    </a:ln>
                    <a:extLst>
                      <a:ext uri="{53640926-AAD7-44D8-BBD7-CCE9431645EC}">
                        <a14:shadowObscured xmlns:a14="http://schemas.microsoft.com/office/drawing/2010/main"/>
                      </a:ext>
                    </a:extLst>
                  </pic:spPr>
                </pic:pic>
              </a:graphicData>
            </a:graphic>
          </wp:inline>
        </w:drawing>
      </w:r>
    </w:p>
    <w:p w14:paraId="573D5540" w14:textId="60995DBB" w:rsidR="001C4886" w:rsidRDefault="001C4886" w:rsidP="001C4886">
      <w:pPr>
        <w:pStyle w:val="Caption"/>
        <w:jc w:val="center"/>
      </w:pPr>
      <w:r>
        <w:t xml:space="preserve">Figure </w:t>
      </w:r>
      <w:r w:rsidR="002851E9">
        <w:t>4</w:t>
      </w:r>
      <w:r>
        <w:t>: Illustration of how to check if a LabBench I/O has been added to the LabBench system.</w:t>
      </w:r>
    </w:p>
    <w:p w14:paraId="06951740" w14:textId="297B6C43" w:rsidR="007A1561" w:rsidRDefault="007A1561" w:rsidP="007A1561">
      <w:pPr>
        <w:pStyle w:val="Heading2"/>
      </w:pPr>
      <w:r>
        <w:t>Installing the protocol</w:t>
      </w:r>
    </w:p>
    <w:p w14:paraId="0E1C57A4" w14:textId="63E941FB" w:rsidR="00E4092A" w:rsidRDefault="00636343" w:rsidP="00F833F4">
      <w:r>
        <w:t>To install the protocol</w:t>
      </w:r>
      <w:r w:rsidR="0048512D">
        <w:t xml:space="preserve">; 1) Select the Protocols page, 2) Select the labbench.io repository, 3) </w:t>
      </w:r>
      <w:r w:rsidR="00FC5D36">
        <w:t>Select the Alloknesis protocol, and 4) click the (+) add protocol button.</w:t>
      </w:r>
    </w:p>
    <w:p w14:paraId="515C361D" w14:textId="06E96F27" w:rsidR="00636343" w:rsidRDefault="00C16393" w:rsidP="00F833F4">
      <w:r>
        <w:rPr>
          <w:noProof/>
        </w:rPr>
        <w:drawing>
          <wp:inline distT="0" distB="0" distL="0" distR="0" wp14:anchorId="4517DD99" wp14:editId="3958AE5E">
            <wp:extent cx="5735955" cy="2698318"/>
            <wp:effectExtent l="0" t="0" r="0" b="0"/>
            <wp:docPr id="61113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744163" cy="2702179"/>
                    </a:xfrm>
                    <a:prstGeom prst="rect">
                      <a:avLst/>
                    </a:prstGeom>
                    <a:noFill/>
                  </pic:spPr>
                </pic:pic>
              </a:graphicData>
            </a:graphic>
          </wp:inline>
        </w:drawing>
      </w:r>
    </w:p>
    <w:p w14:paraId="1CC346E9" w14:textId="34BFFF27" w:rsidR="00636343" w:rsidRDefault="0048512D" w:rsidP="0048512D">
      <w:pPr>
        <w:pStyle w:val="Caption"/>
        <w:jc w:val="center"/>
      </w:pPr>
      <w:r>
        <w:t xml:space="preserve">Figure </w:t>
      </w:r>
      <w:r w:rsidR="009831C9">
        <w:t>5</w:t>
      </w:r>
      <w:r>
        <w:t>: Procedure for how to install the protocol.</w:t>
      </w:r>
    </w:p>
    <w:p w14:paraId="1B24CEDE" w14:textId="31C62CD4" w:rsidR="008B199B" w:rsidRPr="00E32015" w:rsidRDefault="00204776" w:rsidP="008B199B">
      <w:pPr>
        <w:pStyle w:val="Heading1"/>
        <w:rPr>
          <w:sz w:val="24"/>
          <w:szCs w:val="24"/>
          <w:lang w:val="en-GB"/>
        </w:rPr>
      </w:pPr>
      <w:r>
        <w:rPr>
          <w:sz w:val="24"/>
          <w:szCs w:val="24"/>
          <w:lang w:val="en-GB"/>
        </w:rPr>
        <w:t>Results</w:t>
      </w:r>
    </w:p>
    <w:p w14:paraId="250AEDB3" w14:textId="371F404B" w:rsidR="00FD62C2" w:rsidRPr="00E32015" w:rsidRDefault="00FD62C2" w:rsidP="00F86E0B">
      <w:r w:rsidRPr="00E32015">
        <w:t xml:space="preserve">Data </w:t>
      </w:r>
      <w:r w:rsidR="00DD098D">
        <w:t xml:space="preserve">is saved automatically by LabBench during the experiment </w:t>
      </w:r>
      <w:r w:rsidRPr="00E32015">
        <w:t xml:space="preserve">as </w:t>
      </w:r>
      <w:r w:rsidR="00DD098D">
        <w:t xml:space="preserve">three </w:t>
      </w:r>
      <w:r w:rsidRPr="00E32015">
        <w:t>NRS value</w:t>
      </w:r>
      <w:r w:rsidR="00DD098D">
        <w:t>s</w:t>
      </w:r>
      <w:r w:rsidRPr="00E32015">
        <w:t xml:space="preserve"> between 0 (no itch) and 10 (maximal itch)</w:t>
      </w:r>
      <w:r w:rsidR="00DD098D">
        <w:t xml:space="preserve"> or three VAS values between 0cm and 10cm; one for each measurement that is performed in the experimental procedure</w:t>
      </w:r>
      <w:r w:rsidRPr="00E32015">
        <w:t>.</w:t>
      </w:r>
      <w:r w:rsidR="00DD098D">
        <w:t xml:space="preserve"> </w:t>
      </w:r>
    </w:p>
    <w:p w14:paraId="51AFBE17" w14:textId="6FE6ED4D" w:rsidR="008B199B" w:rsidRPr="006D173D" w:rsidRDefault="008B199B" w:rsidP="008B199B">
      <w:pPr>
        <w:pStyle w:val="Heading1"/>
        <w:rPr>
          <w:sz w:val="24"/>
          <w:szCs w:val="24"/>
          <w:lang w:val="en-GB"/>
        </w:rPr>
      </w:pPr>
      <w:bookmarkStart w:id="4" w:name="_Toc164513531"/>
      <w:r w:rsidRPr="006D173D">
        <w:rPr>
          <w:sz w:val="24"/>
          <w:szCs w:val="24"/>
          <w:lang w:val="en-GB"/>
        </w:rPr>
        <w:lastRenderedPageBreak/>
        <w:t>Discussion</w:t>
      </w:r>
      <w:bookmarkEnd w:id="4"/>
    </w:p>
    <w:p w14:paraId="398C4979" w14:textId="77777777" w:rsidR="00F86E0B" w:rsidRDefault="00F866ED" w:rsidP="00F86E0B">
      <w:pPr>
        <w:rPr>
          <w:lang w:val="en-GB"/>
        </w:rPr>
      </w:pPr>
      <w:r>
        <w:rPr>
          <w:lang w:val="en-GB"/>
        </w:rPr>
        <w:t xml:space="preserve">Measurement of itch intensity is essential to evaluate the severity of a pruritic disease, or to assess the efficacy of a treatment </w:t>
      </w:r>
      <w:sdt>
        <w:sdtPr>
          <w:rPr>
            <w:color w:val="000000"/>
            <w:vertAlign w:val="superscript"/>
            <w:lang w:val="en-GB"/>
          </w:rPr>
          <w:tag w:val="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
          <w:id w:val="1920125634"/>
          <w:placeholder>
            <w:docPart w:val="DefaultPlaceholder_-1854013440"/>
          </w:placeholder>
        </w:sdtPr>
        <w:sdtContent>
          <w:r w:rsidR="00E3356E" w:rsidRPr="00E3356E">
            <w:rPr>
              <w:color w:val="000000"/>
              <w:vertAlign w:val="superscript"/>
              <w:lang w:val="en-GB"/>
            </w:rPr>
            <w:t>15</w:t>
          </w:r>
        </w:sdtContent>
      </w:sdt>
      <w:r>
        <w:rPr>
          <w:lang w:val="en-GB"/>
        </w:rPr>
        <w:t xml:space="preserve">. </w:t>
      </w:r>
      <w:r w:rsidR="007D3BC6">
        <w:rPr>
          <w:lang w:val="en-GB"/>
        </w:rPr>
        <w:t>Different types of scale are available to measure pruritus intensity, and the most used are mono</w:t>
      </w:r>
      <w:r w:rsidR="007F60D7">
        <w:rPr>
          <w:lang w:val="en-GB"/>
        </w:rPr>
        <w:t>-</w:t>
      </w:r>
      <w:r w:rsidR="007D3BC6">
        <w:rPr>
          <w:lang w:val="en-GB"/>
        </w:rPr>
        <w:t xml:space="preserve">dimensional scales such as the </w:t>
      </w:r>
      <w:r w:rsidR="00CB2263">
        <w:rPr>
          <w:lang w:val="en-GB"/>
        </w:rPr>
        <w:t xml:space="preserve">visual analog scale (VAS) and the </w:t>
      </w:r>
      <w:r w:rsidR="007D3BC6">
        <w:rPr>
          <w:lang w:val="en-GB"/>
        </w:rPr>
        <w:t xml:space="preserve">numerical rating scale (NRS) </w:t>
      </w:r>
      <w:sdt>
        <w:sdtPr>
          <w:rPr>
            <w:color w:val="000000"/>
            <w:vertAlign w:val="superscript"/>
            <w:lang w:val="en-GB"/>
          </w:rPr>
          <w:tag w:val="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1889684230"/>
          <w:placeholder>
            <w:docPart w:val="DefaultPlaceholder_-1854013440"/>
          </w:placeholder>
        </w:sdtPr>
        <w:sdtContent>
          <w:r w:rsidR="00E3356E" w:rsidRPr="00E3356E">
            <w:rPr>
              <w:color w:val="000000"/>
              <w:vertAlign w:val="superscript"/>
              <w:lang w:val="en-GB"/>
            </w:rPr>
            <w:t>16,17</w:t>
          </w:r>
        </w:sdtContent>
      </w:sdt>
      <w:r w:rsidR="007D3BC6">
        <w:rPr>
          <w:lang w:val="en-GB"/>
        </w:rPr>
        <w:t xml:space="preserve">. </w:t>
      </w:r>
    </w:p>
    <w:p w14:paraId="446B9E4B" w14:textId="77777777" w:rsidR="00F86E0B" w:rsidRDefault="00CB2263" w:rsidP="00F86E0B">
      <w:pPr>
        <w:rPr>
          <w:lang w:val="en-GB"/>
        </w:rPr>
      </w:pPr>
      <w:r>
        <w:rPr>
          <w:lang w:val="en-GB"/>
        </w:rPr>
        <w:t xml:space="preserve">The VAS consists of </w:t>
      </w:r>
      <w:r w:rsidR="006D031A">
        <w:rPr>
          <w:lang w:val="en-GB"/>
        </w:rPr>
        <w:t>a</w:t>
      </w:r>
      <w:r>
        <w:rPr>
          <w:lang w:val="en-GB"/>
        </w:rPr>
        <w:t xml:space="preserve"> 10 cm horizontal line with one endpoint on either side</w:t>
      </w:r>
      <w:r w:rsidR="006D031A">
        <w:rPr>
          <w:lang w:val="en-GB"/>
        </w:rPr>
        <w:t xml:space="preserve"> </w:t>
      </w:r>
      <w:r w:rsidR="007F60D7">
        <w:rPr>
          <w:lang w:val="en-GB"/>
        </w:rPr>
        <w:t>corresponding</w:t>
      </w:r>
      <w:r w:rsidR="006D031A">
        <w:rPr>
          <w:lang w:val="en-GB"/>
        </w:rPr>
        <w:t xml:space="preserve"> to </w:t>
      </w:r>
      <w:r>
        <w:rPr>
          <w:lang w:val="en-GB"/>
        </w:rPr>
        <w:t xml:space="preserve">0=no itch, </w:t>
      </w:r>
      <w:r w:rsidR="006D031A">
        <w:rPr>
          <w:lang w:val="en-GB"/>
        </w:rPr>
        <w:t>and</w:t>
      </w:r>
      <w:r>
        <w:rPr>
          <w:lang w:val="en-GB"/>
        </w:rPr>
        <w:t xml:space="preserve"> 10=worst imaginable itch. The subjects are asked to mark on the line, the point in between these </w:t>
      </w:r>
      <w:r w:rsidR="006D031A">
        <w:rPr>
          <w:lang w:val="en-GB"/>
        </w:rPr>
        <w:t>endpoints</w:t>
      </w:r>
      <w:r>
        <w:rPr>
          <w:lang w:val="en-GB"/>
        </w:rPr>
        <w:t xml:space="preserve"> or on them that corresponds to their feeling</w:t>
      </w:r>
      <w:r w:rsidR="006D031A">
        <w:rPr>
          <w:lang w:val="en-GB"/>
        </w:rPr>
        <w:t xml:space="preserve"> </w:t>
      </w:r>
      <w:sdt>
        <w:sdtPr>
          <w:rPr>
            <w:color w:val="000000"/>
            <w:vertAlign w:val="superscript"/>
            <w:lang w:val="en-GB"/>
          </w:rPr>
          <w:tag w:val="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225683394"/>
          <w:placeholder>
            <w:docPart w:val="DefaultPlaceholder_-1854013440"/>
          </w:placeholder>
        </w:sdtPr>
        <w:sdtContent>
          <w:r w:rsidR="00E3356E" w:rsidRPr="00E3356E">
            <w:rPr>
              <w:color w:val="000000"/>
              <w:vertAlign w:val="superscript"/>
              <w:lang w:val="en-GB"/>
            </w:rPr>
            <w:t>15–17</w:t>
          </w:r>
        </w:sdtContent>
      </w:sdt>
      <w:r w:rsidR="00F866ED">
        <w:rPr>
          <w:lang w:val="en-GB"/>
        </w:rPr>
        <w:t xml:space="preserve">. </w:t>
      </w:r>
    </w:p>
    <w:p w14:paraId="5F2BF662" w14:textId="55EB716F" w:rsidR="00CB2263" w:rsidRDefault="006D031A" w:rsidP="00F86E0B">
      <w:pPr>
        <w:rPr>
          <w:lang w:val="en-GB"/>
        </w:rPr>
      </w:pPr>
      <w:r>
        <w:rPr>
          <w:lang w:val="en-GB"/>
        </w:rPr>
        <w:t xml:space="preserve">The NRS are essentially VAS, but with tick marks every centimetre that create an 11-point scale ranging from 0 to 10. Subjects can rate the itch severity by assigning it a number between 0 and 10 </w:t>
      </w:r>
      <w:sdt>
        <w:sdtPr>
          <w:rPr>
            <w:color w:val="000000"/>
            <w:vertAlign w:val="superscript"/>
            <w:lang w:val="en-GB"/>
          </w:rPr>
          <w:tag w:val="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588577332"/>
          <w:placeholder>
            <w:docPart w:val="DefaultPlaceholder_-1854013440"/>
          </w:placeholder>
        </w:sdtPr>
        <w:sdtContent>
          <w:r w:rsidR="00E3356E" w:rsidRPr="00E3356E">
            <w:rPr>
              <w:color w:val="000000"/>
              <w:vertAlign w:val="superscript"/>
              <w:lang w:val="en-GB"/>
            </w:rPr>
            <w:t>15–17</w:t>
          </w:r>
        </w:sdtContent>
      </w:sdt>
      <w:r>
        <w:rPr>
          <w:lang w:val="en-GB"/>
        </w:rPr>
        <w:t xml:space="preserve">. </w:t>
      </w:r>
      <w:r w:rsidR="00C013C7">
        <w:rPr>
          <w:lang w:val="en-GB"/>
        </w:rPr>
        <w:t xml:space="preserve">Recently, </w:t>
      </w:r>
      <w:r w:rsidR="00FC48EC">
        <w:rPr>
          <w:lang w:val="en-GB"/>
        </w:rPr>
        <w:t>a score cutoff for the two scale has been proposed so that the scoring can be translated as showed in figure 6</w:t>
      </w:r>
      <w:r w:rsidR="00D07412">
        <w:rPr>
          <w:lang w:val="en-GB"/>
        </w:rPr>
        <w:t xml:space="preserve"> </w:t>
      </w:r>
      <w:sdt>
        <w:sdtPr>
          <w:rPr>
            <w:color w:val="000000"/>
            <w:vertAlign w:val="superscript"/>
            <w:lang w:val="en-GB"/>
          </w:rPr>
          <w:tag w:val="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
          <w:id w:val="1867708075"/>
          <w:placeholder>
            <w:docPart w:val="DefaultPlaceholder_-1854013440"/>
          </w:placeholder>
        </w:sdtPr>
        <w:sdtContent>
          <w:r w:rsidR="00E3356E" w:rsidRPr="00E3356E">
            <w:rPr>
              <w:color w:val="000000"/>
              <w:vertAlign w:val="superscript"/>
              <w:lang w:val="en-GB"/>
            </w:rPr>
            <w:t>15,18–20</w:t>
          </w:r>
        </w:sdtContent>
      </w:sdt>
      <w:r w:rsidR="00FC48EC">
        <w:rPr>
          <w:lang w:val="en-GB"/>
        </w:rPr>
        <w:t xml:space="preserve">. </w:t>
      </w:r>
    </w:p>
    <w:p w14:paraId="51172EE7" w14:textId="2CC328C3" w:rsidR="00D07412" w:rsidRDefault="00D07412" w:rsidP="00FC48EC">
      <w:pPr>
        <w:pStyle w:val="Caption"/>
        <w:jc w:val="center"/>
      </w:pPr>
      <w:r w:rsidRPr="00D07412">
        <w:rPr>
          <w:noProof/>
        </w:rPr>
        <w:drawing>
          <wp:inline distT="0" distB="0" distL="0" distR="0" wp14:anchorId="701B35DA" wp14:editId="55F17FDD">
            <wp:extent cx="3702685" cy="1278890"/>
            <wp:effectExtent l="0" t="0" r="0" b="0"/>
            <wp:docPr id="1709386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2685" cy="1278890"/>
                    </a:xfrm>
                    <a:prstGeom prst="rect">
                      <a:avLst/>
                    </a:prstGeom>
                    <a:noFill/>
                    <a:ln>
                      <a:noFill/>
                    </a:ln>
                  </pic:spPr>
                </pic:pic>
              </a:graphicData>
            </a:graphic>
          </wp:inline>
        </w:drawing>
      </w:r>
    </w:p>
    <w:p w14:paraId="0C3A8650" w14:textId="1D409169" w:rsidR="00FC48EC" w:rsidRDefault="00FC48EC" w:rsidP="00FC48EC">
      <w:pPr>
        <w:pStyle w:val="Caption"/>
        <w:jc w:val="center"/>
      </w:pPr>
      <w:r>
        <w:t>Figure 6: Proposed score cutoff for VAS and NRS scales. Between 0 and 3=mild itch, between 3 and 7= moderate itch, between 7 and 9 =severe itch, and above 9=very severe itch.</w:t>
      </w:r>
    </w:p>
    <w:p w14:paraId="5128EEA0" w14:textId="22FD0F8C" w:rsidR="005C57F3" w:rsidRDefault="005C57F3" w:rsidP="00CB2263">
      <w:pPr>
        <w:rPr>
          <w:szCs w:val="24"/>
          <w:lang w:val="en-GB"/>
        </w:rPr>
      </w:pPr>
      <w:r>
        <w:rPr>
          <w:szCs w:val="24"/>
          <w:lang w:val="en-GB"/>
        </w:rPr>
        <w:t>Although, these two scales have been initially developed for assessing pain intensity, they are also widely used to assess itch severity, even though their validation for pruritus assessment have only been explored recently, proving both scales valid and reliable for itch assessment</w:t>
      </w:r>
      <w:r w:rsidR="009A530E">
        <w:rPr>
          <w:szCs w:val="24"/>
          <w:lang w:val="en-GB"/>
        </w:rPr>
        <w:t xml:space="preserve"> and correlated with each other (correlation coefficient above 0.85) </w:t>
      </w:r>
      <w:sdt>
        <w:sdtPr>
          <w:rPr>
            <w:color w:val="000000"/>
            <w:szCs w:val="24"/>
            <w:vertAlign w:val="superscript"/>
            <w:lang w:val="en-GB"/>
          </w:rPr>
          <w:tag w:val="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
          <w:id w:val="-748725023"/>
          <w:placeholder>
            <w:docPart w:val="DefaultPlaceholder_-1854013440"/>
          </w:placeholder>
        </w:sdtPr>
        <w:sdtContent>
          <w:r w:rsidR="00E3356E" w:rsidRPr="00E3356E">
            <w:rPr>
              <w:color w:val="000000"/>
              <w:szCs w:val="24"/>
              <w:vertAlign w:val="superscript"/>
              <w:lang w:val="en-GB"/>
            </w:rPr>
            <w:t>15,16,18,21,22</w:t>
          </w:r>
        </w:sdtContent>
      </w:sdt>
      <w:r>
        <w:rPr>
          <w:szCs w:val="24"/>
          <w:lang w:val="en-GB"/>
        </w:rPr>
        <w:t xml:space="preserve">. </w:t>
      </w:r>
      <w:r w:rsidR="009A530E">
        <w:rPr>
          <w:szCs w:val="24"/>
          <w:lang w:val="en-GB"/>
        </w:rPr>
        <w:t>However, even if the two scales present many similarities, NRS showed lower missing values compared with the VAS in the validation study</w:t>
      </w:r>
      <w:r w:rsidR="00C013C7">
        <w:rPr>
          <w:szCs w:val="24"/>
          <w:lang w:val="en-GB"/>
        </w:rPr>
        <w:t xml:space="preserve">, so it is recommended to have the participant familiarize with the VAS scale before starting the study, to decrease the number of missing data </w:t>
      </w:r>
      <w:r w:rsidR="009A530E">
        <w:rPr>
          <w:szCs w:val="24"/>
          <w:lang w:val="en-GB"/>
        </w:rPr>
        <w:t xml:space="preserve"> </w:t>
      </w:r>
      <w:sdt>
        <w:sdtPr>
          <w:rPr>
            <w:color w:val="000000"/>
            <w:szCs w:val="24"/>
            <w:vertAlign w:val="superscript"/>
            <w:lang w:val="en-GB"/>
          </w:rPr>
          <w:tag w:val="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
          <w:id w:val="-585461620"/>
          <w:placeholder>
            <w:docPart w:val="DefaultPlaceholder_-1854013440"/>
          </w:placeholder>
        </w:sdtPr>
        <w:sdtContent>
          <w:r w:rsidR="00E3356E" w:rsidRPr="00E3356E">
            <w:rPr>
              <w:color w:val="000000"/>
              <w:szCs w:val="24"/>
              <w:vertAlign w:val="superscript"/>
              <w:lang w:val="en-GB"/>
            </w:rPr>
            <w:t>16,17,21</w:t>
          </w:r>
        </w:sdtContent>
      </w:sdt>
      <w:r w:rsidR="009A530E">
        <w:rPr>
          <w:szCs w:val="24"/>
          <w:lang w:val="en-GB"/>
        </w:rPr>
        <w:t xml:space="preserve"> </w:t>
      </w:r>
      <w:r w:rsidR="00335D0C">
        <w:rPr>
          <w:szCs w:val="24"/>
          <w:lang w:val="en-GB"/>
        </w:rPr>
        <w:t>. Moreover, NRS is associate with slightly but significant higher score values than VAS, so it is recommended that the two scale are not used interchangeably when assessing itch intensity</w:t>
      </w:r>
      <w:r w:rsidR="00C013C7">
        <w:rPr>
          <w:szCs w:val="24"/>
          <w:lang w:val="en-GB"/>
        </w:rPr>
        <w:t xml:space="preserve"> </w:t>
      </w:r>
      <w:sdt>
        <w:sdtPr>
          <w:rPr>
            <w:color w:val="000000"/>
            <w:szCs w:val="24"/>
            <w:vertAlign w:val="superscript"/>
            <w:lang w:val="en-GB"/>
          </w:rPr>
          <w:tag w:val="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
          <w:id w:val="1507407533"/>
          <w:placeholder>
            <w:docPart w:val="DefaultPlaceholder_-1854013440"/>
          </w:placeholder>
        </w:sdtPr>
        <w:sdtContent>
          <w:r w:rsidR="00E3356E" w:rsidRPr="00E3356E">
            <w:rPr>
              <w:color w:val="000000"/>
              <w:szCs w:val="24"/>
              <w:vertAlign w:val="superscript"/>
              <w:lang w:val="en-GB"/>
            </w:rPr>
            <w:t>15</w:t>
          </w:r>
        </w:sdtContent>
      </w:sdt>
      <w:r w:rsidR="00335D0C">
        <w:rPr>
          <w:szCs w:val="24"/>
          <w:lang w:val="en-GB"/>
        </w:rPr>
        <w:t xml:space="preserve">. </w:t>
      </w:r>
      <w:r w:rsidR="00E3356E">
        <w:rPr>
          <w:szCs w:val="24"/>
          <w:lang w:val="en-GB"/>
        </w:rPr>
        <w:t xml:space="preserve">Lastly, it is important to underline that </w:t>
      </w:r>
      <w:r w:rsidR="00E3356E" w:rsidRPr="00E3356E">
        <w:rPr>
          <w:szCs w:val="24"/>
          <w:lang w:val="en-GB"/>
        </w:rPr>
        <w:t>VAS are ratio scales</w:t>
      </w:r>
      <w:r w:rsidR="00E3356E">
        <w:rPr>
          <w:szCs w:val="24"/>
          <w:lang w:val="en-GB"/>
        </w:rPr>
        <w:t xml:space="preserve">, while NRS are ordinal scales, so </w:t>
      </w:r>
      <w:r w:rsidR="00E3356E" w:rsidRPr="00E3356E">
        <w:rPr>
          <w:szCs w:val="24"/>
          <w:lang w:val="en-GB"/>
        </w:rPr>
        <w:t xml:space="preserve">parametric statistics are </w:t>
      </w:r>
      <w:r w:rsidR="00E3356E">
        <w:rPr>
          <w:szCs w:val="24"/>
          <w:lang w:val="en-GB"/>
        </w:rPr>
        <w:t>more</w:t>
      </w:r>
      <w:r w:rsidR="00E3356E" w:rsidRPr="00E3356E">
        <w:rPr>
          <w:szCs w:val="24"/>
          <w:lang w:val="en-GB"/>
        </w:rPr>
        <w:t xml:space="preserve"> appropriate for </w:t>
      </w:r>
      <w:r w:rsidR="00E3356E">
        <w:rPr>
          <w:szCs w:val="24"/>
          <w:lang w:val="en-GB"/>
        </w:rPr>
        <w:t>the</w:t>
      </w:r>
      <w:r w:rsidR="00E3356E" w:rsidRPr="00E3356E">
        <w:rPr>
          <w:szCs w:val="24"/>
          <w:lang w:val="en-GB"/>
        </w:rPr>
        <w:t xml:space="preserve"> VAS </w:t>
      </w:r>
      <w:r w:rsidR="00E3356E">
        <w:rPr>
          <w:szCs w:val="24"/>
          <w:lang w:val="en-GB"/>
        </w:rPr>
        <w:t xml:space="preserve">outcomes </w:t>
      </w:r>
      <w:r w:rsidR="00E3356E" w:rsidRPr="00E3356E">
        <w:rPr>
          <w:szCs w:val="24"/>
          <w:lang w:val="en-GB"/>
        </w:rPr>
        <w:t>because they have ratio scale (and therefore interval scale) properties</w:t>
      </w:r>
      <w:r w:rsidR="00E3356E">
        <w:rPr>
          <w:szCs w:val="24"/>
          <w:lang w:val="en-GB"/>
        </w:rPr>
        <w:t>, while are considered less</w:t>
      </w:r>
      <w:r w:rsidR="00E3356E" w:rsidRPr="00E3356E">
        <w:rPr>
          <w:szCs w:val="24"/>
          <w:lang w:val="en-GB"/>
        </w:rPr>
        <w:t xml:space="preserve"> appropriate for NRS</w:t>
      </w:r>
      <w:sdt>
        <w:sdtPr>
          <w:rPr>
            <w:color w:val="000000"/>
            <w:szCs w:val="24"/>
            <w:vertAlign w:val="superscript"/>
            <w:lang w:val="en-GB"/>
          </w:rPr>
          <w:tag w:val="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
          <w:id w:val="2011478389"/>
          <w:placeholder>
            <w:docPart w:val="DefaultPlaceholder_-1854013440"/>
          </w:placeholder>
        </w:sdtPr>
        <w:sdtContent>
          <w:r w:rsidR="00E3356E">
            <w:rPr>
              <w:color w:val="000000"/>
              <w:szCs w:val="24"/>
              <w:vertAlign w:val="superscript"/>
              <w:lang w:val="en-GB"/>
            </w:rPr>
            <w:t xml:space="preserve"> </w:t>
          </w:r>
          <w:r w:rsidR="00E3356E" w:rsidRPr="00E3356E">
            <w:rPr>
              <w:color w:val="000000"/>
              <w:szCs w:val="24"/>
              <w:vertAlign w:val="superscript"/>
              <w:lang w:val="en-GB"/>
            </w:rPr>
            <w:t>23</w:t>
          </w:r>
        </w:sdtContent>
      </w:sdt>
      <w:r w:rsidR="00E3356E" w:rsidRPr="00E3356E">
        <w:rPr>
          <w:szCs w:val="24"/>
          <w:lang w:val="en-GB"/>
        </w:rPr>
        <w:t>.</w:t>
      </w:r>
    </w:p>
    <w:p w14:paraId="25C6ABC9" w14:textId="7EE2D5AB" w:rsidR="007B0AF6" w:rsidRPr="00CB2263" w:rsidRDefault="007B0AF6" w:rsidP="00FA3634">
      <w:pPr>
        <w:pStyle w:val="Heading1"/>
        <w:rPr>
          <w:szCs w:val="24"/>
          <w:lang w:val="en-GB"/>
        </w:rPr>
      </w:pPr>
      <w:r w:rsidRPr="006D173D">
        <w:rPr>
          <w:lang w:val="en-GB"/>
        </w:rPr>
        <w:t>License</w:t>
      </w:r>
    </w:p>
    <w:p w14:paraId="40810673" w14:textId="77A7859F" w:rsidR="007B0AF6" w:rsidRDefault="00C417A1" w:rsidP="006B610A">
      <w:pPr>
        <w:rPr>
          <w:rFonts w:ascii="Source Sans Pro" w:hAnsi="Source Sans Pro"/>
          <w:shd w:val="clear" w:color="auto" w:fill="FFFFFF"/>
        </w:rPr>
      </w:pPr>
      <w:r>
        <w:rPr>
          <w:rFonts w:ascii="Source Sans Pro" w:hAnsi="Source Sans Pro"/>
          <w:color w:val="333333"/>
          <w:shd w:val="clear" w:color="auto" w:fill="FFFFFF"/>
        </w:rPr>
        <w:lastRenderedPageBreak/>
        <w:t xml:space="preserve">The </w:t>
      </w:r>
      <w:r w:rsidR="004867F8">
        <w:rPr>
          <w:rFonts w:ascii="Source Sans Pro" w:hAnsi="Source Sans Pro"/>
          <w:color w:val="333333"/>
          <w:shd w:val="clear" w:color="auto" w:fill="FFFFFF"/>
        </w:rPr>
        <w:t>Introduction to LabBench</w:t>
      </w:r>
      <w:r w:rsidR="002622D8">
        <w:rPr>
          <w:rFonts w:ascii="Source Sans Pro" w:hAnsi="Source Sans Pro"/>
          <w:color w:val="333333"/>
          <w:shd w:val="clear" w:color="auto" w:fill="FFFFFF"/>
        </w:rPr>
        <w:t xml:space="preserve"> Protocol (</w:t>
      </w:r>
      <w:r w:rsidR="004867F8">
        <w:rPr>
          <w:rFonts w:ascii="Source Sans Pro" w:hAnsi="Source Sans Pro"/>
          <w:color w:val="333333"/>
          <w:shd w:val="clear" w:color="auto" w:fill="FFFFFF"/>
        </w:rPr>
        <w:t>introdemo</w:t>
      </w:r>
      <w:r w:rsidR="002622D8">
        <w:rPr>
          <w:rFonts w:ascii="Source Sans Pro" w:hAnsi="Source Sans Pro"/>
          <w:color w:val="333333"/>
          <w:shd w:val="clear" w:color="auto" w:fill="FFFFFF"/>
        </w:rPr>
        <w:t>@labbench.io) © 2024 by </w:t>
      </w:r>
      <w:r w:rsidR="00B32304">
        <w:rPr>
          <w:rFonts w:ascii="Source Sans Pro" w:hAnsi="Source Sans Pro"/>
          <w:color w:val="333333"/>
          <w:shd w:val="clear" w:color="auto" w:fill="FFFFFF"/>
        </w:rPr>
        <w:t xml:space="preserve">Inventors’ Way ApS </w:t>
      </w:r>
      <w:r w:rsidR="002622D8">
        <w:rPr>
          <w:rFonts w:ascii="Source Sans Pro" w:hAnsi="Source Sans Pro"/>
          <w:color w:val="333333"/>
          <w:shd w:val="clear" w:color="auto" w:fill="FFFFFF"/>
        </w:rPr>
        <w:t>is licensed under </w:t>
      </w:r>
      <w:r w:rsidR="002622D8" w:rsidRPr="002622D8">
        <w:rPr>
          <w:rFonts w:ascii="Source Sans Pro" w:hAnsi="Source Sans Pro"/>
          <w:shd w:val="clear" w:color="auto" w:fill="FFFFFF"/>
        </w:rPr>
        <w:t>Creative Commons Attribution-</w:t>
      </w:r>
      <w:proofErr w:type="spellStart"/>
      <w:r w:rsidR="002622D8" w:rsidRPr="002622D8">
        <w:rPr>
          <w:rFonts w:ascii="Source Sans Pro" w:hAnsi="Source Sans Pro"/>
          <w:shd w:val="clear" w:color="auto" w:fill="FFFFFF"/>
        </w:rPr>
        <w:t>NonCommercial</w:t>
      </w:r>
      <w:proofErr w:type="spellEnd"/>
      <w:r w:rsidR="002622D8" w:rsidRPr="002622D8">
        <w:rPr>
          <w:rFonts w:ascii="Source Sans Pro" w:hAnsi="Source Sans Pro"/>
          <w:shd w:val="clear" w:color="auto" w:fill="FFFFFF"/>
        </w:rPr>
        <w:t>-</w:t>
      </w:r>
      <w:proofErr w:type="spellStart"/>
      <w:r w:rsidR="002622D8" w:rsidRPr="002622D8">
        <w:rPr>
          <w:rFonts w:ascii="Source Sans Pro" w:hAnsi="Source Sans Pro"/>
          <w:shd w:val="clear" w:color="auto" w:fill="FFFFFF"/>
        </w:rPr>
        <w:t>ShareAlike</w:t>
      </w:r>
      <w:proofErr w:type="spellEnd"/>
      <w:r w:rsidR="002622D8" w:rsidRPr="002622D8">
        <w:rPr>
          <w:rFonts w:ascii="Source Sans Pro" w:hAnsi="Source Sans Pro"/>
          <w:shd w:val="clear" w:color="auto" w:fill="FFFFFF"/>
        </w:rPr>
        <w:t xml:space="preserve"> 4.0 International</w:t>
      </w:r>
      <w:r w:rsidR="00DC08E1">
        <w:rPr>
          <w:rFonts w:ascii="Source Sans Pro" w:hAnsi="Source Sans Pro"/>
          <w:shd w:val="clear" w:color="auto" w:fill="FFFFFF"/>
        </w:rPr>
        <w:t>.</w:t>
      </w:r>
      <w:r w:rsidR="002622D8" w:rsidRPr="002622D8">
        <w:rPr>
          <w:rFonts w:ascii="Source Sans Pro" w:hAnsi="Source Sans Pro"/>
          <w:shd w:val="clear" w:color="auto" w:fill="FFFFFF"/>
        </w:rPr>
        <w:t> </w:t>
      </w:r>
    </w:p>
    <w:p w14:paraId="2B729ED6" w14:textId="31CAFBD4" w:rsidR="005975DB" w:rsidRDefault="002622D8" w:rsidP="006B610A">
      <w:pPr>
        <w:rPr>
          <w:szCs w:val="24"/>
          <w:lang w:val="en-GB"/>
        </w:rPr>
      </w:pPr>
      <w:r w:rsidRPr="002622D8">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6"/>
                    <a:stretch>
                      <a:fillRect/>
                    </a:stretch>
                  </pic:blipFill>
                  <pic:spPr>
                    <a:xfrm>
                      <a:off x="0" y="0"/>
                      <a:ext cx="3425408" cy="749109"/>
                    </a:xfrm>
                    <a:prstGeom prst="rect">
                      <a:avLst/>
                    </a:prstGeom>
                  </pic:spPr>
                </pic:pic>
              </a:graphicData>
            </a:graphic>
          </wp:inline>
        </w:drawing>
      </w:r>
    </w:p>
    <w:p w14:paraId="5DA6C80E" w14:textId="3A28FD70" w:rsidR="00B7764F" w:rsidRDefault="00B7764F" w:rsidP="006B610A">
      <w:pPr>
        <w:rPr>
          <w:szCs w:val="24"/>
          <w:lang w:val="en-GB"/>
        </w:rPr>
      </w:pPr>
      <w:r>
        <w:rPr>
          <w:szCs w:val="24"/>
          <w:lang w:val="en-GB"/>
        </w:rPr>
        <w:t xml:space="preserve">For a full explanation for the conditions of its use and the full license text, please refer to: </w:t>
      </w:r>
      <w:r w:rsidR="002622D8" w:rsidRPr="002622D8">
        <w:rPr>
          <w:szCs w:val="24"/>
          <w:lang w:val="en-GB"/>
        </w:rPr>
        <w:t>https://creativecommons.org/licenses/by-nc-sa/4.0/</w:t>
      </w:r>
    </w:p>
    <w:p w14:paraId="013ECE8F" w14:textId="64250A1F" w:rsidR="006B610A" w:rsidRPr="007F60D7" w:rsidRDefault="006B610A" w:rsidP="006B610A">
      <w:pPr>
        <w:pStyle w:val="Heading1"/>
        <w:rPr>
          <w:sz w:val="24"/>
          <w:szCs w:val="24"/>
          <w:lang w:val="en-GB"/>
        </w:rPr>
      </w:pPr>
      <w:bookmarkStart w:id="5" w:name="_Toc164513532"/>
      <w:r w:rsidRPr="007F60D7">
        <w:rPr>
          <w:sz w:val="24"/>
          <w:szCs w:val="24"/>
          <w:lang w:val="en-GB"/>
        </w:rPr>
        <w:t>R</w:t>
      </w:r>
      <w:r w:rsidR="00B36C9C" w:rsidRPr="007F60D7">
        <w:rPr>
          <w:sz w:val="24"/>
          <w:szCs w:val="24"/>
          <w:lang w:val="en-GB"/>
        </w:rPr>
        <w:t>eferences</w:t>
      </w:r>
      <w:bookmarkEnd w:id="5"/>
    </w:p>
    <w:sdt>
      <w:sdtPr>
        <w:rPr>
          <w:szCs w:val="24"/>
          <w:lang w:val="en-GB"/>
        </w:rPr>
        <w:tag w:val="MENDELEY_BIBLIOGRAPHY"/>
        <w:id w:val="-1830353362"/>
        <w:placeholder>
          <w:docPart w:val="DefaultPlaceholder_-1854013440"/>
        </w:placeholder>
      </w:sdtPr>
      <w:sdtEndPr>
        <w:rPr>
          <w:szCs w:val="20"/>
        </w:rPr>
      </w:sdtEndPr>
      <w:sdtContent>
        <w:p w14:paraId="1A40105E" w14:textId="77777777" w:rsidR="00E3356E" w:rsidRDefault="00E3356E">
          <w:pPr>
            <w:autoSpaceDE w:val="0"/>
            <w:autoSpaceDN w:val="0"/>
            <w:ind w:hanging="640"/>
            <w:divId w:val="2026857883"/>
            <w:rPr>
              <w:rFonts w:eastAsia="Times New Roman"/>
              <w:szCs w:val="24"/>
            </w:rPr>
          </w:pPr>
          <w:r w:rsidRPr="007F60D7">
            <w:rPr>
              <w:rFonts w:eastAsia="Times New Roman"/>
              <w:lang w:val="en-GB"/>
            </w:rPr>
            <w:t>1</w:t>
          </w:r>
          <w:r w:rsidRPr="007F60D7">
            <w:rPr>
              <w:rFonts w:eastAsia="Times New Roman"/>
              <w:lang w:val="en-GB"/>
            </w:rPr>
            <w:tab/>
            <w:t xml:space="preserve">Andersen HH, Akiyama T, </w:t>
          </w:r>
          <w:proofErr w:type="spellStart"/>
          <w:r w:rsidRPr="007F60D7">
            <w:rPr>
              <w:rFonts w:eastAsia="Times New Roman"/>
              <w:lang w:val="en-GB"/>
            </w:rPr>
            <w:t>Nattkemper</w:t>
          </w:r>
          <w:proofErr w:type="spellEnd"/>
          <w:r w:rsidRPr="007F60D7">
            <w:rPr>
              <w:rFonts w:eastAsia="Times New Roman"/>
              <w:lang w:val="en-GB"/>
            </w:rPr>
            <w:t xml:space="preserve"> LA, </w:t>
          </w:r>
          <w:r w:rsidRPr="007F60D7">
            <w:rPr>
              <w:rFonts w:eastAsia="Times New Roman"/>
              <w:i/>
              <w:iCs/>
              <w:lang w:val="en-GB"/>
            </w:rPr>
            <w:t>et al.</w:t>
          </w:r>
          <w:r w:rsidRPr="007F60D7">
            <w:rPr>
              <w:rFonts w:eastAsia="Times New Roman"/>
              <w:lang w:val="en-GB"/>
            </w:rPr>
            <w:t xml:space="preserve"> </w:t>
          </w:r>
          <w:r>
            <w:rPr>
              <w:rFonts w:eastAsia="Times New Roman"/>
            </w:rPr>
            <w:t xml:space="preserve">Alloknesis and hyperknesis—mechanisms, assessment methodology, and clinical implications of itch sensitization. </w:t>
          </w:r>
          <w:r>
            <w:rPr>
              <w:rFonts w:eastAsia="Times New Roman"/>
              <w:i/>
              <w:iCs/>
            </w:rPr>
            <w:t>Pain</w:t>
          </w:r>
          <w:r>
            <w:rPr>
              <w:rFonts w:eastAsia="Times New Roman"/>
            </w:rPr>
            <w:t xml:space="preserve"> 2018; </w:t>
          </w:r>
          <w:r>
            <w:rPr>
              <w:rFonts w:eastAsia="Times New Roman"/>
              <w:b/>
              <w:bCs/>
            </w:rPr>
            <w:t>159</w:t>
          </w:r>
          <w:r>
            <w:rPr>
              <w:rFonts w:eastAsia="Times New Roman"/>
            </w:rPr>
            <w:t>:1185–97.</w:t>
          </w:r>
        </w:p>
        <w:p w14:paraId="26C097AE" w14:textId="77777777" w:rsidR="00E3356E" w:rsidRDefault="00E3356E">
          <w:pPr>
            <w:autoSpaceDE w:val="0"/>
            <w:autoSpaceDN w:val="0"/>
            <w:ind w:hanging="640"/>
            <w:divId w:val="313753061"/>
            <w:rPr>
              <w:rFonts w:eastAsia="Times New Roman"/>
            </w:rPr>
          </w:pPr>
          <w:r>
            <w:rPr>
              <w:rFonts w:eastAsia="Times New Roman"/>
            </w:rPr>
            <w:t>2</w:t>
          </w:r>
          <w:r>
            <w:rPr>
              <w:rFonts w:eastAsia="Times New Roman"/>
            </w:rPr>
            <w:tab/>
            <w:t xml:space="preserve">Bickford RGL. Experiments relating to the </w:t>
          </w:r>
          <w:proofErr w:type="gramStart"/>
          <w:r>
            <w:rPr>
              <w:rFonts w:eastAsia="Times New Roman"/>
            </w:rPr>
            <w:t>itch</w:t>
          </w:r>
          <w:proofErr w:type="gramEnd"/>
          <w:r>
            <w:rPr>
              <w:rFonts w:eastAsia="Times New Roman"/>
            </w:rPr>
            <w:t xml:space="preserve"> sensation, </w:t>
          </w:r>
          <w:proofErr w:type="gramStart"/>
          <w:r>
            <w:rPr>
              <w:rFonts w:eastAsia="Times New Roman"/>
            </w:rPr>
            <w:t>it’s</w:t>
          </w:r>
          <w:proofErr w:type="gramEnd"/>
          <w:r>
            <w:rPr>
              <w:rFonts w:eastAsia="Times New Roman"/>
            </w:rPr>
            <w:t xml:space="preserve"> peripheral mechanism, and central </w:t>
          </w:r>
          <w:proofErr w:type="spellStart"/>
          <w:r>
            <w:rPr>
              <w:rFonts w:eastAsia="Times New Roman"/>
            </w:rPr>
            <w:t>pathays</w:t>
          </w:r>
          <w:proofErr w:type="spellEnd"/>
          <w:r>
            <w:rPr>
              <w:rFonts w:eastAsia="Times New Roman"/>
            </w:rPr>
            <w:t xml:space="preserve">. </w:t>
          </w:r>
          <w:r>
            <w:rPr>
              <w:rFonts w:eastAsia="Times New Roman"/>
              <w:i/>
              <w:iCs/>
            </w:rPr>
            <w:t>Clin Sci</w:t>
          </w:r>
          <w:r>
            <w:rPr>
              <w:rFonts w:eastAsia="Times New Roman"/>
            </w:rPr>
            <w:t xml:space="preserve"> 1938; </w:t>
          </w:r>
          <w:r>
            <w:rPr>
              <w:rFonts w:eastAsia="Times New Roman"/>
              <w:b/>
              <w:bCs/>
            </w:rPr>
            <w:t>3</w:t>
          </w:r>
          <w:r>
            <w:rPr>
              <w:rFonts w:eastAsia="Times New Roman"/>
            </w:rPr>
            <w:t>:377–86.</w:t>
          </w:r>
        </w:p>
        <w:p w14:paraId="4587A429" w14:textId="77777777" w:rsidR="00E3356E" w:rsidRDefault="00E3356E">
          <w:pPr>
            <w:autoSpaceDE w:val="0"/>
            <w:autoSpaceDN w:val="0"/>
            <w:ind w:hanging="640"/>
            <w:divId w:val="1708095245"/>
            <w:rPr>
              <w:rFonts w:eastAsia="Times New Roman"/>
            </w:rPr>
          </w:pPr>
          <w:r>
            <w:rPr>
              <w:rFonts w:eastAsia="Times New Roman"/>
            </w:rPr>
            <w:t>3</w:t>
          </w:r>
          <w:r>
            <w:rPr>
              <w:rFonts w:eastAsia="Times New Roman"/>
            </w:rPr>
            <w:tab/>
            <w:t>LaMotte RH. Subpopulations of “</w:t>
          </w:r>
          <w:proofErr w:type="spellStart"/>
          <w:r>
            <w:rPr>
              <w:rFonts w:eastAsia="Times New Roman"/>
            </w:rPr>
            <w:t>nocifensor</w:t>
          </w:r>
          <w:proofErr w:type="spellEnd"/>
          <w:r>
            <w:rPr>
              <w:rFonts w:eastAsia="Times New Roman"/>
            </w:rPr>
            <w:t xml:space="preserve"> neurons” contributing to pain and allodynia, itch and alloknesis. </w:t>
          </w:r>
          <w:r>
            <w:rPr>
              <w:rFonts w:eastAsia="Times New Roman"/>
              <w:i/>
              <w:iCs/>
            </w:rPr>
            <w:t>APS Journal</w:t>
          </w:r>
          <w:r>
            <w:rPr>
              <w:rFonts w:eastAsia="Times New Roman"/>
            </w:rPr>
            <w:t xml:space="preserve"> 1992; </w:t>
          </w:r>
          <w:r>
            <w:rPr>
              <w:rFonts w:eastAsia="Times New Roman"/>
              <w:b/>
              <w:bCs/>
            </w:rPr>
            <w:t>1</w:t>
          </w:r>
          <w:r>
            <w:rPr>
              <w:rFonts w:eastAsia="Times New Roman"/>
            </w:rPr>
            <w:t>:115–26.</w:t>
          </w:r>
        </w:p>
        <w:p w14:paraId="7FB18A57" w14:textId="77777777" w:rsidR="00E3356E" w:rsidRDefault="00E3356E">
          <w:pPr>
            <w:autoSpaceDE w:val="0"/>
            <w:autoSpaceDN w:val="0"/>
            <w:ind w:hanging="640"/>
            <w:divId w:val="1360088840"/>
            <w:rPr>
              <w:rFonts w:eastAsia="Times New Roman"/>
            </w:rPr>
          </w:pPr>
          <w:r>
            <w:rPr>
              <w:rFonts w:eastAsia="Times New Roman"/>
            </w:rPr>
            <w:t>4</w:t>
          </w:r>
          <w:r>
            <w:rPr>
              <w:rFonts w:eastAsia="Times New Roman"/>
            </w:rPr>
            <w:tab/>
            <w:t xml:space="preserve">LaMotte RH. Psychophysical and neurophysiological studies of chemically induced cutaneous pain and itch: the case of the missing nociceptor. In: </w:t>
          </w:r>
          <w:r>
            <w:rPr>
              <w:rFonts w:eastAsia="Times New Roman"/>
              <w:i/>
              <w:iCs/>
            </w:rPr>
            <w:t>Progress in brain research</w:t>
          </w:r>
          <w:proofErr w:type="gramStart"/>
          <w:r>
            <w:rPr>
              <w:rFonts w:eastAsia="Times New Roman"/>
            </w:rPr>
            <w:t>. ,</w:t>
          </w:r>
          <w:proofErr w:type="gramEnd"/>
          <w:r>
            <w:rPr>
              <w:rFonts w:eastAsia="Times New Roman"/>
            </w:rPr>
            <w:t xml:space="preserve"> Elsevier, 1988; 331–5.</w:t>
          </w:r>
        </w:p>
        <w:p w14:paraId="59151674" w14:textId="77777777" w:rsidR="00E3356E" w:rsidRPr="007F60D7" w:rsidRDefault="00E3356E">
          <w:pPr>
            <w:autoSpaceDE w:val="0"/>
            <w:autoSpaceDN w:val="0"/>
            <w:ind w:hanging="640"/>
            <w:divId w:val="50857714"/>
            <w:rPr>
              <w:rFonts w:eastAsia="Times New Roman"/>
              <w:lang w:val="en-GB"/>
            </w:rPr>
          </w:pPr>
          <w:r>
            <w:rPr>
              <w:rFonts w:eastAsia="Times New Roman"/>
            </w:rPr>
            <w:t>5</w:t>
          </w:r>
          <w:r>
            <w:rPr>
              <w:rFonts w:eastAsia="Times New Roman"/>
            </w:rPr>
            <w:tab/>
            <w:t xml:space="preserve">Andersen HH, Elberling J, Sølvsten H, </w:t>
          </w:r>
          <w:r>
            <w:rPr>
              <w:rFonts w:eastAsia="Times New Roman"/>
              <w:i/>
              <w:iCs/>
            </w:rPr>
            <w:t>et al.</w:t>
          </w:r>
          <w:r>
            <w:rPr>
              <w:rFonts w:eastAsia="Times New Roman"/>
            </w:rPr>
            <w:t xml:space="preserve"> Nonhistaminergic and mechanical itch sensitization in atopic dermatitis. </w:t>
          </w:r>
          <w:r w:rsidRPr="007F60D7">
            <w:rPr>
              <w:rFonts w:eastAsia="Times New Roman"/>
              <w:i/>
              <w:iCs/>
              <w:lang w:val="en-GB"/>
            </w:rPr>
            <w:t>Pain</w:t>
          </w:r>
          <w:r w:rsidRPr="007F60D7">
            <w:rPr>
              <w:rFonts w:eastAsia="Times New Roman"/>
              <w:lang w:val="en-GB"/>
            </w:rPr>
            <w:t xml:space="preserve"> 2017; </w:t>
          </w:r>
          <w:r w:rsidRPr="007F60D7">
            <w:rPr>
              <w:rFonts w:eastAsia="Times New Roman"/>
              <w:b/>
              <w:bCs/>
              <w:lang w:val="en-GB"/>
            </w:rPr>
            <w:t>158</w:t>
          </w:r>
          <w:r w:rsidRPr="007F60D7">
            <w:rPr>
              <w:rFonts w:eastAsia="Times New Roman"/>
              <w:lang w:val="en-GB"/>
            </w:rPr>
            <w:t>:1780–91.</w:t>
          </w:r>
        </w:p>
        <w:p w14:paraId="190B3AE2" w14:textId="77777777" w:rsidR="00E3356E" w:rsidRPr="007F60D7" w:rsidRDefault="00E3356E">
          <w:pPr>
            <w:autoSpaceDE w:val="0"/>
            <w:autoSpaceDN w:val="0"/>
            <w:ind w:hanging="640"/>
            <w:divId w:val="27801534"/>
            <w:rPr>
              <w:rFonts w:eastAsia="Times New Roman"/>
              <w:lang w:val="en-GB"/>
            </w:rPr>
          </w:pPr>
          <w:r w:rsidRPr="007F60D7">
            <w:rPr>
              <w:rFonts w:eastAsia="Times New Roman"/>
              <w:lang w:val="en-GB"/>
            </w:rPr>
            <w:t>6</w:t>
          </w:r>
          <w:r w:rsidRPr="007F60D7">
            <w:rPr>
              <w:rFonts w:eastAsia="Times New Roman"/>
              <w:lang w:val="en-GB"/>
            </w:rPr>
            <w:tab/>
            <w:t xml:space="preserve">G. </w:t>
          </w:r>
          <w:proofErr w:type="spellStart"/>
          <w:r w:rsidRPr="007F60D7">
            <w:rPr>
              <w:rFonts w:eastAsia="Times New Roman"/>
              <w:lang w:val="en-GB"/>
            </w:rPr>
            <w:t>Atanassoff</w:t>
          </w:r>
          <w:proofErr w:type="spellEnd"/>
          <w:r w:rsidRPr="007F60D7">
            <w:rPr>
              <w:rFonts w:eastAsia="Times New Roman"/>
              <w:lang w:val="en-GB"/>
            </w:rPr>
            <w:t xml:space="preserve"> P, Brull SJ, Zhang J, </w:t>
          </w:r>
          <w:r w:rsidRPr="007F60D7">
            <w:rPr>
              <w:rFonts w:eastAsia="Times New Roman"/>
              <w:i/>
              <w:iCs/>
              <w:lang w:val="en-GB"/>
            </w:rPr>
            <w:t>et al.</w:t>
          </w:r>
          <w:r w:rsidRPr="007F60D7">
            <w:rPr>
              <w:rFonts w:eastAsia="Times New Roman"/>
              <w:lang w:val="en-GB"/>
            </w:rPr>
            <w:t xml:space="preserve"> </w:t>
          </w:r>
          <w:r>
            <w:rPr>
              <w:rFonts w:eastAsia="Times New Roman"/>
            </w:rPr>
            <w:t xml:space="preserve">Enhancement of experimental pruritus and mechanically evoked </w:t>
          </w:r>
          <w:proofErr w:type="spellStart"/>
          <w:r>
            <w:rPr>
              <w:rFonts w:eastAsia="Times New Roman"/>
            </w:rPr>
            <w:t>dysesthesiae</w:t>
          </w:r>
          <w:proofErr w:type="spellEnd"/>
          <w:r>
            <w:rPr>
              <w:rFonts w:eastAsia="Times New Roman"/>
            </w:rPr>
            <w:t xml:space="preserve"> with local anesthesia. </w:t>
          </w:r>
          <w:proofErr w:type="spellStart"/>
          <w:r w:rsidRPr="007F60D7">
            <w:rPr>
              <w:rFonts w:eastAsia="Times New Roman"/>
              <w:i/>
              <w:iCs/>
              <w:lang w:val="en-GB"/>
            </w:rPr>
            <w:t>Somatosens</w:t>
          </w:r>
          <w:proofErr w:type="spellEnd"/>
          <w:r w:rsidRPr="007F60D7">
            <w:rPr>
              <w:rFonts w:eastAsia="Times New Roman"/>
              <w:i/>
              <w:iCs/>
              <w:lang w:val="en-GB"/>
            </w:rPr>
            <w:t xml:space="preserve"> Mot Res</w:t>
          </w:r>
          <w:r w:rsidRPr="007F60D7">
            <w:rPr>
              <w:rFonts w:eastAsia="Times New Roman"/>
              <w:lang w:val="en-GB"/>
            </w:rPr>
            <w:t xml:space="preserve"> 1999; </w:t>
          </w:r>
          <w:r w:rsidRPr="007F60D7">
            <w:rPr>
              <w:rFonts w:eastAsia="Times New Roman"/>
              <w:b/>
              <w:bCs/>
              <w:lang w:val="en-GB"/>
            </w:rPr>
            <w:t>16</w:t>
          </w:r>
          <w:r w:rsidRPr="007F60D7">
            <w:rPr>
              <w:rFonts w:eastAsia="Times New Roman"/>
              <w:lang w:val="en-GB"/>
            </w:rPr>
            <w:t>:291–8.</w:t>
          </w:r>
        </w:p>
        <w:p w14:paraId="5EDEA24D" w14:textId="77777777" w:rsidR="00E3356E" w:rsidRDefault="00E3356E">
          <w:pPr>
            <w:autoSpaceDE w:val="0"/>
            <w:autoSpaceDN w:val="0"/>
            <w:ind w:hanging="640"/>
            <w:divId w:val="2075083707"/>
            <w:rPr>
              <w:rFonts w:eastAsia="Times New Roman"/>
            </w:rPr>
          </w:pPr>
          <w:r w:rsidRPr="007F60D7">
            <w:rPr>
              <w:rFonts w:eastAsia="Times New Roman"/>
              <w:lang w:val="en-GB"/>
            </w:rPr>
            <w:t>7</w:t>
          </w:r>
          <w:r w:rsidRPr="007F60D7">
            <w:rPr>
              <w:rFonts w:eastAsia="Times New Roman"/>
              <w:lang w:val="en-GB"/>
            </w:rPr>
            <w:tab/>
          </w:r>
          <w:proofErr w:type="spellStart"/>
          <w:r w:rsidRPr="007F60D7">
            <w:rPr>
              <w:rFonts w:eastAsia="Times New Roman"/>
              <w:lang w:val="en-GB"/>
            </w:rPr>
            <w:t>Ikoma</w:t>
          </w:r>
          <w:proofErr w:type="spellEnd"/>
          <w:r w:rsidRPr="007F60D7">
            <w:rPr>
              <w:rFonts w:eastAsia="Times New Roman"/>
              <w:lang w:val="en-GB"/>
            </w:rPr>
            <w:t xml:space="preserve"> A, </w:t>
          </w:r>
          <w:proofErr w:type="spellStart"/>
          <w:r w:rsidRPr="007F60D7">
            <w:rPr>
              <w:rFonts w:eastAsia="Times New Roman"/>
              <w:lang w:val="en-GB"/>
            </w:rPr>
            <w:t>Fartasch</w:t>
          </w:r>
          <w:proofErr w:type="spellEnd"/>
          <w:r w:rsidRPr="007F60D7">
            <w:rPr>
              <w:rFonts w:eastAsia="Times New Roman"/>
              <w:lang w:val="en-GB"/>
            </w:rPr>
            <w:t xml:space="preserve"> M, Heyer G, </w:t>
          </w:r>
          <w:r w:rsidRPr="007F60D7">
            <w:rPr>
              <w:rFonts w:eastAsia="Times New Roman"/>
              <w:i/>
              <w:iCs/>
              <w:lang w:val="en-GB"/>
            </w:rPr>
            <w:t>et al.</w:t>
          </w:r>
          <w:r w:rsidRPr="007F60D7">
            <w:rPr>
              <w:rFonts w:eastAsia="Times New Roman"/>
              <w:lang w:val="en-GB"/>
            </w:rPr>
            <w:t xml:space="preserve"> </w:t>
          </w:r>
          <w:r>
            <w:rPr>
              <w:rFonts w:eastAsia="Times New Roman"/>
            </w:rPr>
            <w:t xml:space="preserve">Painful stimuli evoke itch in patients with chronic pruritus: central sensitization for itch. </w:t>
          </w:r>
          <w:r>
            <w:rPr>
              <w:rFonts w:eastAsia="Times New Roman"/>
              <w:i/>
              <w:iCs/>
            </w:rPr>
            <w:t xml:space="preserve">AAN </w:t>
          </w:r>
          <w:proofErr w:type="spellStart"/>
          <w:r>
            <w:rPr>
              <w:rFonts w:eastAsia="Times New Roman"/>
              <w:i/>
              <w:iCs/>
            </w:rPr>
            <w:t>Enterprises</w:t>
          </w:r>
          <w:r>
            <w:rPr>
              <w:rFonts w:eastAsia="Times New Roman"/>
            </w:rPr>
            <w:t>URL</w:t>
          </w:r>
          <w:proofErr w:type="spellEnd"/>
          <w:r>
            <w:rPr>
              <w:rFonts w:eastAsia="Times New Roman"/>
            </w:rPr>
            <w:t xml:space="preserve"> https://n.neurology.org/content/62/2/212.short [accessed on 22 November 2021].</w:t>
          </w:r>
        </w:p>
        <w:p w14:paraId="1E0558A3" w14:textId="77777777" w:rsidR="00E3356E" w:rsidRDefault="00E3356E">
          <w:pPr>
            <w:autoSpaceDE w:val="0"/>
            <w:autoSpaceDN w:val="0"/>
            <w:ind w:hanging="640"/>
            <w:divId w:val="1975870932"/>
            <w:rPr>
              <w:rFonts w:eastAsia="Times New Roman"/>
            </w:rPr>
          </w:pPr>
          <w:r>
            <w:rPr>
              <w:rFonts w:eastAsia="Times New Roman"/>
            </w:rPr>
            <w:t>8</w:t>
          </w:r>
          <w:r>
            <w:rPr>
              <w:rFonts w:eastAsia="Times New Roman"/>
            </w:rPr>
            <w:tab/>
            <w:t xml:space="preserve">Schmelz M. Itch and pain differences and commonalities. In: </w:t>
          </w:r>
          <w:r>
            <w:rPr>
              <w:rFonts w:eastAsia="Times New Roman"/>
              <w:i/>
              <w:iCs/>
            </w:rPr>
            <w:t>Pain Control</w:t>
          </w:r>
          <w:proofErr w:type="gramStart"/>
          <w:r>
            <w:rPr>
              <w:rFonts w:eastAsia="Times New Roman"/>
            </w:rPr>
            <w:t>. ,</w:t>
          </w:r>
          <w:proofErr w:type="gramEnd"/>
          <w:r>
            <w:rPr>
              <w:rFonts w:eastAsia="Times New Roman"/>
            </w:rPr>
            <w:t xml:space="preserve"> Springer, 2015; 285–301.</w:t>
          </w:r>
        </w:p>
        <w:p w14:paraId="4E2637EF" w14:textId="77777777" w:rsidR="00E3356E" w:rsidRDefault="00E3356E">
          <w:pPr>
            <w:autoSpaceDE w:val="0"/>
            <w:autoSpaceDN w:val="0"/>
            <w:ind w:hanging="640"/>
            <w:divId w:val="726034080"/>
            <w:rPr>
              <w:rFonts w:eastAsia="Times New Roman"/>
            </w:rPr>
          </w:pPr>
          <w:r>
            <w:rPr>
              <w:rFonts w:eastAsia="Times New Roman"/>
            </w:rPr>
            <w:t>9</w:t>
          </w:r>
          <w:r>
            <w:rPr>
              <w:rFonts w:eastAsia="Times New Roman"/>
            </w:rPr>
            <w:tab/>
            <w:t xml:space="preserve">LaMotte RH. Allodynia and Alloknesis. In: </w:t>
          </w:r>
          <w:r>
            <w:rPr>
              <w:rFonts w:eastAsia="Times New Roman"/>
              <w:i/>
              <w:iCs/>
            </w:rPr>
            <w:t>Encyclopedia of Pain</w:t>
          </w:r>
          <w:r>
            <w:rPr>
              <w:rFonts w:eastAsia="Times New Roman"/>
            </w:rPr>
            <w:t>. Berlin, Heidelberg, Springer Berlin Heidelberg; 52–5.</w:t>
          </w:r>
        </w:p>
        <w:p w14:paraId="2B3CBA0C" w14:textId="77777777" w:rsidR="00E3356E" w:rsidRDefault="00E3356E">
          <w:pPr>
            <w:autoSpaceDE w:val="0"/>
            <w:autoSpaceDN w:val="0"/>
            <w:ind w:hanging="640"/>
            <w:divId w:val="1098018209"/>
            <w:rPr>
              <w:rFonts w:eastAsia="Times New Roman"/>
            </w:rPr>
          </w:pPr>
          <w:r>
            <w:rPr>
              <w:rFonts w:eastAsia="Times New Roman"/>
            </w:rPr>
            <w:lastRenderedPageBreak/>
            <w:t>10</w:t>
          </w:r>
          <w:r>
            <w:rPr>
              <w:rFonts w:eastAsia="Times New Roman"/>
            </w:rPr>
            <w:tab/>
          </w:r>
          <w:proofErr w:type="spellStart"/>
          <w:r>
            <w:rPr>
              <w:rFonts w:eastAsia="Times New Roman"/>
            </w:rPr>
            <w:t>Sandkuhler</w:t>
          </w:r>
          <w:proofErr w:type="spellEnd"/>
          <w:r>
            <w:rPr>
              <w:rFonts w:eastAsia="Times New Roman"/>
            </w:rPr>
            <w:t xml:space="preserve"> J. Models and mechanisms of hyperalgesia and allodynia. </w:t>
          </w:r>
          <w:proofErr w:type="spellStart"/>
          <w:r>
            <w:rPr>
              <w:rFonts w:eastAsia="Times New Roman"/>
              <w:i/>
              <w:iCs/>
            </w:rPr>
            <w:t>Physiol</w:t>
          </w:r>
          <w:proofErr w:type="spellEnd"/>
          <w:r>
            <w:rPr>
              <w:rFonts w:eastAsia="Times New Roman"/>
              <w:i/>
              <w:iCs/>
            </w:rPr>
            <w:t xml:space="preserve"> Rev</w:t>
          </w:r>
          <w:r>
            <w:rPr>
              <w:rFonts w:eastAsia="Times New Roman"/>
            </w:rPr>
            <w:t xml:space="preserve"> 2009; </w:t>
          </w:r>
          <w:r>
            <w:rPr>
              <w:rFonts w:eastAsia="Times New Roman"/>
              <w:b/>
              <w:bCs/>
            </w:rPr>
            <w:t>89</w:t>
          </w:r>
          <w:r>
            <w:rPr>
              <w:rFonts w:eastAsia="Times New Roman"/>
            </w:rPr>
            <w:t>:707–58.</w:t>
          </w:r>
        </w:p>
        <w:p w14:paraId="53BA1941" w14:textId="77777777" w:rsidR="00E3356E" w:rsidRDefault="00E3356E">
          <w:pPr>
            <w:autoSpaceDE w:val="0"/>
            <w:autoSpaceDN w:val="0"/>
            <w:ind w:hanging="640"/>
            <w:divId w:val="1532911676"/>
            <w:rPr>
              <w:rFonts w:eastAsia="Times New Roman"/>
            </w:rPr>
          </w:pPr>
          <w:r>
            <w:rPr>
              <w:rFonts w:eastAsia="Times New Roman"/>
            </w:rPr>
            <w:t>11</w:t>
          </w:r>
          <w:r>
            <w:rPr>
              <w:rFonts w:eastAsia="Times New Roman"/>
            </w:rPr>
            <w:tab/>
            <w:t xml:space="preserve">Jensen TS, Finnerup NB. Allodynia and hyperalgesia in neuropathic pain: clinical manifestations and mechanisms. </w:t>
          </w:r>
          <w:r>
            <w:rPr>
              <w:rFonts w:eastAsia="Times New Roman"/>
              <w:i/>
              <w:iCs/>
            </w:rPr>
            <w:t>Lancet Neurol</w:t>
          </w:r>
          <w:r>
            <w:rPr>
              <w:rFonts w:eastAsia="Times New Roman"/>
            </w:rPr>
            <w:t xml:space="preserve"> 2014; </w:t>
          </w:r>
          <w:r>
            <w:rPr>
              <w:rFonts w:eastAsia="Times New Roman"/>
              <w:b/>
              <w:bCs/>
            </w:rPr>
            <w:t>13</w:t>
          </w:r>
          <w:r>
            <w:rPr>
              <w:rFonts w:eastAsia="Times New Roman"/>
            </w:rPr>
            <w:t>:924–35.</w:t>
          </w:r>
        </w:p>
        <w:p w14:paraId="2567A39D" w14:textId="77777777" w:rsidR="00E3356E" w:rsidRDefault="00E3356E">
          <w:pPr>
            <w:autoSpaceDE w:val="0"/>
            <w:autoSpaceDN w:val="0"/>
            <w:ind w:hanging="640"/>
            <w:divId w:val="286741183"/>
            <w:rPr>
              <w:rFonts w:eastAsia="Times New Roman"/>
            </w:rPr>
          </w:pPr>
          <w:r>
            <w:rPr>
              <w:rFonts w:eastAsia="Times New Roman"/>
            </w:rPr>
            <w:t>12</w:t>
          </w:r>
          <w:r>
            <w:rPr>
              <w:rFonts w:eastAsia="Times New Roman"/>
            </w:rPr>
            <w:tab/>
          </w:r>
          <w:proofErr w:type="spellStart"/>
          <w:r>
            <w:rPr>
              <w:rFonts w:eastAsia="Times New Roman"/>
            </w:rPr>
            <w:t>Tsagareli</w:t>
          </w:r>
          <w:proofErr w:type="spellEnd"/>
          <w:r>
            <w:rPr>
              <w:rFonts w:eastAsia="Times New Roman"/>
            </w:rPr>
            <w:t xml:space="preserve"> Merab. Hyperalgesia and Allodynia: A Closer Look. Symptoms, Mechanisms and Treatment</w:t>
          </w:r>
          <w:proofErr w:type="gramStart"/>
          <w:r>
            <w:rPr>
              <w:rFonts w:eastAsia="Times New Roman"/>
            </w:rPr>
            <w:t>. ,</w:t>
          </w:r>
          <w:proofErr w:type="gramEnd"/>
          <w:r>
            <w:rPr>
              <w:rFonts w:eastAsia="Times New Roman"/>
            </w:rPr>
            <w:t xml:space="preserve"> Nova Science Publishers, 2019.</w:t>
          </w:r>
        </w:p>
        <w:p w14:paraId="13FC7F13" w14:textId="77777777" w:rsidR="00E3356E" w:rsidRDefault="00E3356E">
          <w:pPr>
            <w:autoSpaceDE w:val="0"/>
            <w:autoSpaceDN w:val="0"/>
            <w:ind w:hanging="640"/>
            <w:divId w:val="470752873"/>
            <w:rPr>
              <w:rFonts w:eastAsia="Times New Roman"/>
            </w:rPr>
          </w:pPr>
          <w:r>
            <w:rPr>
              <w:rFonts w:eastAsia="Times New Roman"/>
            </w:rPr>
            <w:t>13</w:t>
          </w:r>
          <w:r>
            <w:rPr>
              <w:rFonts w:eastAsia="Times New Roman"/>
            </w:rPr>
            <w:tab/>
            <w:t xml:space="preserve">LaMotte RH, Dong X, Ringkamp M. Sensory neurons and circuits mediating itch. </w:t>
          </w:r>
          <w:r>
            <w:rPr>
              <w:rFonts w:eastAsia="Times New Roman"/>
              <w:i/>
              <w:iCs/>
            </w:rPr>
            <w:t xml:space="preserve">Nat Rev </w:t>
          </w:r>
          <w:proofErr w:type="spellStart"/>
          <w:r>
            <w:rPr>
              <w:rFonts w:eastAsia="Times New Roman"/>
              <w:i/>
              <w:iCs/>
            </w:rPr>
            <w:t>Neurosci</w:t>
          </w:r>
          <w:proofErr w:type="spellEnd"/>
          <w:r>
            <w:rPr>
              <w:rFonts w:eastAsia="Times New Roman"/>
            </w:rPr>
            <w:t xml:space="preserve"> 2014; </w:t>
          </w:r>
          <w:r>
            <w:rPr>
              <w:rFonts w:eastAsia="Times New Roman"/>
              <w:b/>
              <w:bCs/>
            </w:rPr>
            <w:t>15</w:t>
          </w:r>
          <w:r>
            <w:rPr>
              <w:rFonts w:eastAsia="Times New Roman"/>
            </w:rPr>
            <w:t>:19–31.</w:t>
          </w:r>
        </w:p>
        <w:p w14:paraId="58A3C8DA" w14:textId="77777777" w:rsidR="00E3356E" w:rsidRDefault="00E3356E">
          <w:pPr>
            <w:autoSpaceDE w:val="0"/>
            <w:autoSpaceDN w:val="0"/>
            <w:ind w:hanging="640"/>
            <w:divId w:val="909846487"/>
            <w:rPr>
              <w:rFonts w:eastAsia="Times New Roman"/>
            </w:rPr>
          </w:pPr>
          <w:r>
            <w:rPr>
              <w:rFonts w:eastAsia="Times New Roman"/>
            </w:rPr>
            <w:t>14</w:t>
          </w:r>
          <w:r>
            <w:rPr>
              <w:rFonts w:eastAsia="Times New Roman"/>
            </w:rPr>
            <w:tab/>
            <w:t xml:space="preserve">Weisshaar E, Dunker N, Gollnick H. Topical capsaicin therapy in humans with hemodialysis-related pruritus. </w:t>
          </w:r>
          <w:proofErr w:type="spellStart"/>
          <w:r>
            <w:rPr>
              <w:rFonts w:eastAsia="Times New Roman"/>
              <w:i/>
              <w:iCs/>
            </w:rPr>
            <w:t>Neurosci</w:t>
          </w:r>
          <w:proofErr w:type="spellEnd"/>
          <w:r>
            <w:rPr>
              <w:rFonts w:eastAsia="Times New Roman"/>
              <w:i/>
              <w:iCs/>
            </w:rPr>
            <w:t xml:space="preserve"> Lett</w:t>
          </w:r>
          <w:r>
            <w:rPr>
              <w:rFonts w:eastAsia="Times New Roman"/>
            </w:rPr>
            <w:t xml:space="preserve"> 2003; </w:t>
          </w:r>
          <w:r>
            <w:rPr>
              <w:rFonts w:eastAsia="Times New Roman"/>
              <w:b/>
              <w:bCs/>
            </w:rPr>
            <w:t>345</w:t>
          </w:r>
          <w:r>
            <w:rPr>
              <w:rFonts w:eastAsia="Times New Roman"/>
            </w:rPr>
            <w:t>:192–4.</w:t>
          </w:r>
        </w:p>
        <w:p w14:paraId="1E5D41F1" w14:textId="77777777" w:rsidR="00E3356E" w:rsidRDefault="00E3356E">
          <w:pPr>
            <w:autoSpaceDE w:val="0"/>
            <w:autoSpaceDN w:val="0"/>
            <w:ind w:hanging="640"/>
            <w:divId w:val="57023915"/>
            <w:rPr>
              <w:rFonts w:eastAsia="Times New Roman"/>
            </w:rPr>
          </w:pPr>
          <w:r>
            <w:rPr>
              <w:rFonts w:eastAsia="Times New Roman"/>
            </w:rPr>
            <w:t>15</w:t>
          </w:r>
          <w:r>
            <w:rPr>
              <w:rFonts w:eastAsia="Times New Roman"/>
            </w:rPr>
            <w:tab/>
            <w:t xml:space="preserve">Reich A, </w:t>
          </w:r>
          <w:proofErr w:type="spellStart"/>
          <w:r>
            <w:rPr>
              <w:rFonts w:eastAsia="Times New Roman"/>
            </w:rPr>
            <w:t>Szepietowski</w:t>
          </w:r>
          <w:proofErr w:type="spellEnd"/>
          <w:r>
            <w:rPr>
              <w:rFonts w:eastAsia="Times New Roman"/>
            </w:rPr>
            <w:t xml:space="preserve"> JC. Measurement of Itch Intensity. In: </w:t>
          </w:r>
          <w:r>
            <w:rPr>
              <w:rFonts w:eastAsia="Times New Roman"/>
              <w:i/>
              <w:iCs/>
            </w:rPr>
            <w:t>Itch: Management in Clinical Practice</w:t>
          </w:r>
          <w:proofErr w:type="gramStart"/>
          <w:r>
            <w:rPr>
              <w:rFonts w:eastAsia="Times New Roman"/>
              <w:i/>
              <w:iCs/>
            </w:rPr>
            <w:t xml:space="preserve">. </w:t>
          </w:r>
          <w:r>
            <w:rPr>
              <w:rFonts w:eastAsia="Times New Roman"/>
            </w:rPr>
            <w:t>.</w:t>
          </w:r>
          <w:proofErr w:type="gramEnd"/>
          <w:r>
            <w:rPr>
              <w:rFonts w:eastAsia="Times New Roman"/>
            </w:rPr>
            <w:t xml:space="preserve"> , 2016; 29–34.</w:t>
          </w:r>
        </w:p>
        <w:p w14:paraId="7AB77FDB" w14:textId="77777777" w:rsidR="00E3356E" w:rsidRDefault="00E3356E">
          <w:pPr>
            <w:autoSpaceDE w:val="0"/>
            <w:autoSpaceDN w:val="0"/>
            <w:ind w:hanging="640"/>
            <w:divId w:val="916667870"/>
            <w:rPr>
              <w:rFonts w:eastAsia="Times New Roman"/>
            </w:rPr>
          </w:pPr>
          <w:r>
            <w:rPr>
              <w:rFonts w:eastAsia="Times New Roman"/>
            </w:rPr>
            <w:t>16</w:t>
          </w:r>
          <w:r>
            <w:rPr>
              <w:rFonts w:eastAsia="Times New Roman"/>
            </w:rPr>
            <w:tab/>
            <w:t xml:space="preserve">Misery L, </w:t>
          </w:r>
          <w:proofErr w:type="spellStart"/>
          <w:r>
            <w:rPr>
              <w:rFonts w:eastAsia="Times New Roman"/>
            </w:rPr>
            <w:t>Ständer</w:t>
          </w:r>
          <w:proofErr w:type="spellEnd"/>
          <w:r>
            <w:rPr>
              <w:rFonts w:eastAsia="Times New Roman"/>
            </w:rPr>
            <w:t xml:space="preserve"> S, eds. Pruritus. Cham, Springer International Publishing, 2016 doi:10.1007/978-3-319-33142-3.</w:t>
          </w:r>
        </w:p>
        <w:p w14:paraId="6CB0F56F" w14:textId="77777777" w:rsidR="00E3356E" w:rsidRDefault="00E3356E">
          <w:pPr>
            <w:autoSpaceDE w:val="0"/>
            <w:autoSpaceDN w:val="0"/>
            <w:ind w:hanging="640"/>
            <w:divId w:val="2132357169"/>
            <w:rPr>
              <w:rFonts w:eastAsia="Times New Roman"/>
            </w:rPr>
          </w:pPr>
          <w:r>
            <w:rPr>
              <w:rFonts w:eastAsia="Times New Roman"/>
            </w:rPr>
            <w:t>17</w:t>
          </w:r>
          <w:r>
            <w:rPr>
              <w:rFonts w:eastAsia="Times New Roman"/>
            </w:rPr>
            <w:tab/>
          </w:r>
          <w:proofErr w:type="spellStart"/>
          <w:r>
            <w:rPr>
              <w:rFonts w:eastAsia="Times New Roman"/>
            </w:rPr>
            <w:t>Yosipovitch</w:t>
          </w:r>
          <w:proofErr w:type="spellEnd"/>
          <w:r>
            <w:rPr>
              <w:rFonts w:eastAsia="Times New Roman"/>
            </w:rPr>
            <w:t xml:space="preserve"> G, Arendt-Nielsen L, Andersen H. Itch and Pain: Similarities, Interactions, and Differences</w:t>
          </w:r>
          <w:proofErr w:type="gramStart"/>
          <w:r>
            <w:rPr>
              <w:rFonts w:eastAsia="Times New Roman"/>
            </w:rPr>
            <w:t>. ,</w:t>
          </w:r>
          <w:proofErr w:type="gramEnd"/>
          <w:r>
            <w:rPr>
              <w:rFonts w:eastAsia="Times New Roman"/>
            </w:rPr>
            <w:t xml:space="preserve"> Wolters Kluwer Health, 2020URL https://books.google.dk/books?id=LwnYDwAAQBAJ.</w:t>
          </w:r>
        </w:p>
        <w:p w14:paraId="5BC48D59" w14:textId="77777777" w:rsidR="00E3356E" w:rsidRDefault="00E3356E">
          <w:pPr>
            <w:autoSpaceDE w:val="0"/>
            <w:autoSpaceDN w:val="0"/>
            <w:ind w:hanging="640"/>
            <w:divId w:val="1778867115"/>
            <w:rPr>
              <w:rFonts w:eastAsia="Times New Roman"/>
            </w:rPr>
          </w:pPr>
          <w:r w:rsidRPr="00E3356E">
            <w:rPr>
              <w:rFonts w:eastAsia="Times New Roman"/>
              <w:lang w:val="da-DK"/>
            </w:rPr>
            <w:t>18</w:t>
          </w:r>
          <w:r w:rsidRPr="00E3356E">
            <w:rPr>
              <w:rFonts w:eastAsia="Times New Roman"/>
              <w:lang w:val="da-DK"/>
            </w:rPr>
            <w:tab/>
            <w:t xml:space="preserve">Reich A, </w:t>
          </w:r>
          <w:proofErr w:type="spellStart"/>
          <w:r w:rsidRPr="00E3356E">
            <w:rPr>
              <w:rFonts w:eastAsia="Times New Roman"/>
              <w:lang w:val="da-DK"/>
            </w:rPr>
            <w:t>Heisig</w:t>
          </w:r>
          <w:proofErr w:type="spellEnd"/>
          <w:r w:rsidRPr="00E3356E">
            <w:rPr>
              <w:rFonts w:eastAsia="Times New Roman"/>
              <w:lang w:val="da-DK"/>
            </w:rPr>
            <w:t xml:space="preserve"> M, Phan N, </w:t>
          </w:r>
          <w:r w:rsidRPr="00E3356E">
            <w:rPr>
              <w:rFonts w:eastAsia="Times New Roman"/>
              <w:i/>
              <w:iCs/>
              <w:lang w:val="da-DK"/>
            </w:rPr>
            <w:t>et al.</w:t>
          </w:r>
          <w:r w:rsidRPr="00E3356E">
            <w:rPr>
              <w:rFonts w:eastAsia="Times New Roman"/>
              <w:lang w:val="da-DK"/>
            </w:rPr>
            <w:t xml:space="preserve"> </w:t>
          </w:r>
          <w:r>
            <w:rPr>
              <w:rFonts w:eastAsia="Times New Roman"/>
            </w:rPr>
            <w:t>Visual Analogue Scale: Evaluation of the Instrument for the Assess</w:t>
          </w:r>
          <w:r>
            <w:rPr>
              <w:rFonts w:eastAsia="Times New Roman"/>
            </w:rPr>
            <w:softHyphen/>
            <w:t xml:space="preserve">ment of Pruritus. </w:t>
          </w:r>
          <w:r>
            <w:rPr>
              <w:rFonts w:eastAsia="Times New Roman"/>
              <w:i/>
              <w:iCs/>
            </w:rPr>
            <w:t xml:space="preserve">Acta </w:t>
          </w:r>
          <w:proofErr w:type="spellStart"/>
          <w:r>
            <w:rPr>
              <w:rFonts w:eastAsia="Times New Roman"/>
              <w:i/>
              <w:iCs/>
            </w:rPr>
            <w:t>Dermato</w:t>
          </w:r>
          <w:proofErr w:type="spellEnd"/>
          <w:r>
            <w:rPr>
              <w:rFonts w:eastAsia="Times New Roman"/>
              <w:i/>
              <w:iCs/>
            </w:rPr>
            <w:t xml:space="preserve"> </w:t>
          </w:r>
          <w:proofErr w:type="spellStart"/>
          <w:r>
            <w:rPr>
              <w:rFonts w:eastAsia="Times New Roman"/>
              <w:i/>
              <w:iCs/>
            </w:rPr>
            <w:t>Venereologica</w:t>
          </w:r>
          <w:proofErr w:type="spellEnd"/>
          <w:r>
            <w:rPr>
              <w:rFonts w:eastAsia="Times New Roman"/>
            </w:rPr>
            <w:t xml:space="preserve"> 2012; </w:t>
          </w:r>
          <w:r>
            <w:rPr>
              <w:rFonts w:eastAsia="Times New Roman"/>
              <w:b/>
              <w:bCs/>
            </w:rPr>
            <w:t>92</w:t>
          </w:r>
          <w:r>
            <w:rPr>
              <w:rFonts w:eastAsia="Times New Roman"/>
            </w:rPr>
            <w:t>:497–501.</w:t>
          </w:r>
        </w:p>
        <w:p w14:paraId="1E6F6A13" w14:textId="77777777" w:rsidR="00E3356E" w:rsidRPr="007F60D7" w:rsidRDefault="00E3356E">
          <w:pPr>
            <w:autoSpaceDE w:val="0"/>
            <w:autoSpaceDN w:val="0"/>
            <w:ind w:hanging="640"/>
            <w:divId w:val="1699044369"/>
            <w:rPr>
              <w:rFonts w:eastAsia="Times New Roman"/>
              <w:lang w:val="en-GB"/>
            </w:rPr>
          </w:pPr>
          <w:r>
            <w:rPr>
              <w:rFonts w:eastAsia="Times New Roman"/>
            </w:rPr>
            <w:t>19</w:t>
          </w:r>
          <w:r>
            <w:rPr>
              <w:rFonts w:eastAsia="Times New Roman"/>
            </w:rPr>
            <w:tab/>
            <w:t xml:space="preserve">Kido-Nakahara M KNSHMHHATSNTMKTRNHOYMKFM. Comparative cut-off value setting of pruritus intensity in visual analogue scale and verbal rating scale.". </w:t>
          </w:r>
          <w:r w:rsidRPr="007F60D7">
            <w:rPr>
              <w:rFonts w:eastAsia="Times New Roman"/>
              <w:i/>
              <w:iCs/>
              <w:lang w:val="en-GB"/>
            </w:rPr>
            <w:t xml:space="preserve">Acta Derm </w:t>
          </w:r>
          <w:proofErr w:type="spellStart"/>
          <w:r w:rsidRPr="007F60D7">
            <w:rPr>
              <w:rFonts w:eastAsia="Times New Roman"/>
              <w:i/>
              <w:iCs/>
              <w:lang w:val="en-GB"/>
            </w:rPr>
            <w:t>Venereol</w:t>
          </w:r>
          <w:proofErr w:type="spellEnd"/>
          <w:r w:rsidRPr="007F60D7">
            <w:rPr>
              <w:rFonts w:eastAsia="Times New Roman"/>
              <w:lang w:val="en-GB"/>
            </w:rPr>
            <w:t xml:space="preserve"> 2015; </w:t>
          </w:r>
          <w:r w:rsidRPr="007F60D7">
            <w:rPr>
              <w:rFonts w:eastAsia="Times New Roman"/>
              <w:b/>
              <w:bCs/>
              <w:lang w:val="en-GB"/>
            </w:rPr>
            <w:t>95</w:t>
          </w:r>
          <w:r w:rsidRPr="007F60D7">
            <w:rPr>
              <w:rFonts w:eastAsia="Times New Roman"/>
              <w:lang w:val="en-GB"/>
            </w:rPr>
            <w:t>.</w:t>
          </w:r>
        </w:p>
        <w:p w14:paraId="33450D1B" w14:textId="77777777" w:rsidR="00E3356E" w:rsidRPr="00E3356E" w:rsidRDefault="00E3356E">
          <w:pPr>
            <w:autoSpaceDE w:val="0"/>
            <w:autoSpaceDN w:val="0"/>
            <w:ind w:hanging="640"/>
            <w:divId w:val="690107364"/>
            <w:rPr>
              <w:rFonts w:eastAsia="Times New Roman"/>
              <w:lang w:val="da-DK"/>
            </w:rPr>
          </w:pPr>
          <w:r w:rsidRPr="007F60D7">
            <w:rPr>
              <w:rFonts w:eastAsia="Times New Roman"/>
              <w:lang w:val="en-GB"/>
            </w:rPr>
            <w:t>20</w:t>
          </w:r>
          <w:r w:rsidRPr="007F60D7">
            <w:rPr>
              <w:rFonts w:eastAsia="Times New Roman"/>
              <w:lang w:val="en-GB"/>
            </w:rPr>
            <w:tab/>
            <w:t xml:space="preserve">Reich A, </w:t>
          </w:r>
          <w:proofErr w:type="spellStart"/>
          <w:r w:rsidRPr="007F60D7">
            <w:rPr>
              <w:rFonts w:eastAsia="Times New Roman"/>
              <w:lang w:val="en-GB"/>
            </w:rPr>
            <w:t>Chatzigeorkidis</w:t>
          </w:r>
          <w:proofErr w:type="spellEnd"/>
          <w:r w:rsidRPr="007F60D7">
            <w:rPr>
              <w:rFonts w:eastAsia="Times New Roman"/>
              <w:lang w:val="en-GB"/>
            </w:rPr>
            <w:t xml:space="preserve"> E, Zeidler C, </w:t>
          </w:r>
          <w:r w:rsidRPr="007F60D7">
            <w:rPr>
              <w:rFonts w:eastAsia="Times New Roman"/>
              <w:i/>
              <w:iCs/>
              <w:lang w:val="en-GB"/>
            </w:rPr>
            <w:t>et al.</w:t>
          </w:r>
          <w:r w:rsidRPr="007F60D7">
            <w:rPr>
              <w:rFonts w:eastAsia="Times New Roman"/>
              <w:lang w:val="en-GB"/>
            </w:rPr>
            <w:t xml:space="preserve"> </w:t>
          </w:r>
          <w:r>
            <w:rPr>
              <w:rFonts w:eastAsia="Times New Roman"/>
            </w:rPr>
            <w:t xml:space="preserve">Tailoring the Cut-off Values of the Visual Analogue Scale and Numeric Rating Scale in Itch Assessment. </w:t>
          </w:r>
          <w:r w:rsidRPr="00E3356E">
            <w:rPr>
              <w:rFonts w:eastAsia="Times New Roman"/>
              <w:i/>
              <w:iCs/>
              <w:lang w:val="da-DK"/>
            </w:rPr>
            <w:t xml:space="preserve">Acta </w:t>
          </w:r>
          <w:proofErr w:type="spellStart"/>
          <w:r w:rsidRPr="00E3356E">
            <w:rPr>
              <w:rFonts w:eastAsia="Times New Roman"/>
              <w:i/>
              <w:iCs/>
              <w:lang w:val="da-DK"/>
            </w:rPr>
            <w:t>Dermato</w:t>
          </w:r>
          <w:proofErr w:type="spellEnd"/>
          <w:r w:rsidRPr="00E3356E">
            <w:rPr>
              <w:rFonts w:eastAsia="Times New Roman"/>
              <w:i/>
              <w:iCs/>
              <w:lang w:val="da-DK"/>
            </w:rPr>
            <w:t xml:space="preserve"> </w:t>
          </w:r>
          <w:proofErr w:type="spellStart"/>
          <w:r w:rsidRPr="00E3356E">
            <w:rPr>
              <w:rFonts w:eastAsia="Times New Roman"/>
              <w:i/>
              <w:iCs/>
              <w:lang w:val="da-DK"/>
            </w:rPr>
            <w:t>Venereologica</w:t>
          </w:r>
          <w:proofErr w:type="spellEnd"/>
          <w:r w:rsidRPr="00E3356E">
            <w:rPr>
              <w:rFonts w:eastAsia="Times New Roman"/>
              <w:lang w:val="da-DK"/>
            </w:rPr>
            <w:t xml:space="preserve"> 2017; </w:t>
          </w:r>
          <w:r w:rsidRPr="00E3356E">
            <w:rPr>
              <w:rFonts w:eastAsia="Times New Roman"/>
              <w:b/>
              <w:bCs/>
              <w:lang w:val="da-DK"/>
            </w:rPr>
            <w:t>97</w:t>
          </w:r>
          <w:r w:rsidRPr="00E3356E">
            <w:rPr>
              <w:rFonts w:eastAsia="Times New Roman"/>
              <w:lang w:val="da-DK"/>
            </w:rPr>
            <w:t>:759–60.</w:t>
          </w:r>
        </w:p>
        <w:p w14:paraId="7B14931B" w14:textId="77777777" w:rsidR="00E3356E" w:rsidRPr="00E3356E" w:rsidRDefault="00E3356E">
          <w:pPr>
            <w:autoSpaceDE w:val="0"/>
            <w:autoSpaceDN w:val="0"/>
            <w:ind w:hanging="640"/>
            <w:divId w:val="964428563"/>
            <w:rPr>
              <w:rFonts w:eastAsia="Times New Roman"/>
              <w:lang w:val="da-DK"/>
            </w:rPr>
          </w:pPr>
          <w:r w:rsidRPr="00E3356E">
            <w:rPr>
              <w:rFonts w:eastAsia="Times New Roman"/>
              <w:lang w:val="da-DK"/>
            </w:rPr>
            <w:t>21</w:t>
          </w:r>
          <w:r w:rsidRPr="00E3356E">
            <w:rPr>
              <w:rFonts w:eastAsia="Times New Roman"/>
              <w:lang w:val="da-DK"/>
            </w:rPr>
            <w:tab/>
            <w:t xml:space="preserve">Phan N, </w:t>
          </w:r>
          <w:proofErr w:type="spellStart"/>
          <w:r w:rsidRPr="00E3356E">
            <w:rPr>
              <w:rFonts w:eastAsia="Times New Roman"/>
              <w:lang w:val="da-DK"/>
            </w:rPr>
            <w:t>Blome</w:t>
          </w:r>
          <w:proofErr w:type="spellEnd"/>
          <w:r w:rsidRPr="00E3356E">
            <w:rPr>
              <w:rFonts w:eastAsia="Times New Roman"/>
              <w:lang w:val="da-DK"/>
            </w:rPr>
            <w:t xml:space="preserve"> C, Fritz F, </w:t>
          </w:r>
          <w:r w:rsidRPr="00E3356E">
            <w:rPr>
              <w:rFonts w:eastAsia="Times New Roman"/>
              <w:i/>
              <w:iCs/>
              <w:lang w:val="da-DK"/>
            </w:rPr>
            <w:t>et al.</w:t>
          </w:r>
          <w:r w:rsidRPr="00E3356E">
            <w:rPr>
              <w:rFonts w:eastAsia="Times New Roman"/>
              <w:lang w:val="da-DK"/>
            </w:rPr>
            <w:t xml:space="preserve"> </w:t>
          </w:r>
          <w:r>
            <w:rPr>
              <w:rFonts w:eastAsia="Times New Roman"/>
            </w:rPr>
            <w:t xml:space="preserve">Assessment of Pruritus Intensity: Prospective Study on Validity and Reliability of the Visual Analogue Scale, Numerical Rating Scale and Verbal Rating Scale in 471 Patients with Chronic Pruritus. </w:t>
          </w:r>
          <w:r w:rsidRPr="00E3356E">
            <w:rPr>
              <w:rFonts w:eastAsia="Times New Roman"/>
              <w:i/>
              <w:iCs/>
              <w:lang w:val="da-DK"/>
            </w:rPr>
            <w:t xml:space="preserve">Acta </w:t>
          </w:r>
          <w:proofErr w:type="spellStart"/>
          <w:r w:rsidRPr="00E3356E">
            <w:rPr>
              <w:rFonts w:eastAsia="Times New Roman"/>
              <w:i/>
              <w:iCs/>
              <w:lang w:val="da-DK"/>
            </w:rPr>
            <w:t>Dermato</w:t>
          </w:r>
          <w:proofErr w:type="spellEnd"/>
          <w:r w:rsidRPr="00E3356E">
            <w:rPr>
              <w:rFonts w:eastAsia="Times New Roman"/>
              <w:i/>
              <w:iCs/>
              <w:lang w:val="da-DK"/>
            </w:rPr>
            <w:t xml:space="preserve"> </w:t>
          </w:r>
          <w:proofErr w:type="spellStart"/>
          <w:r w:rsidRPr="00E3356E">
            <w:rPr>
              <w:rFonts w:eastAsia="Times New Roman"/>
              <w:i/>
              <w:iCs/>
              <w:lang w:val="da-DK"/>
            </w:rPr>
            <w:t>Venereologica</w:t>
          </w:r>
          <w:proofErr w:type="spellEnd"/>
          <w:r w:rsidRPr="00E3356E">
            <w:rPr>
              <w:rFonts w:eastAsia="Times New Roman"/>
              <w:lang w:val="da-DK"/>
            </w:rPr>
            <w:t xml:space="preserve"> 2012; </w:t>
          </w:r>
          <w:r w:rsidRPr="00E3356E">
            <w:rPr>
              <w:rFonts w:eastAsia="Times New Roman"/>
              <w:b/>
              <w:bCs/>
              <w:lang w:val="da-DK"/>
            </w:rPr>
            <w:t>92</w:t>
          </w:r>
          <w:r w:rsidRPr="00E3356E">
            <w:rPr>
              <w:rFonts w:eastAsia="Times New Roman"/>
              <w:lang w:val="da-DK"/>
            </w:rPr>
            <w:t>:502–7.</w:t>
          </w:r>
        </w:p>
        <w:p w14:paraId="5F5C6BE4" w14:textId="77777777" w:rsidR="00E3356E" w:rsidRDefault="00E3356E">
          <w:pPr>
            <w:autoSpaceDE w:val="0"/>
            <w:autoSpaceDN w:val="0"/>
            <w:ind w:hanging="640"/>
            <w:divId w:val="1739749177"/>
            <w:rPr>
              <w:rFonts w:eastAsia="Times New Roman"/>
            </w:rPr>
          </w:pPr>
          <w:r w:rsidRPr="00E3356E">
            <w:rPr>
              <w:rFonts w:eastAsia="Times New Roman"/>
              <w:lang w:val="da-DK"/>
            </w:rPr>
            <w:t>22</w:t>
          </w:r>
          <w:r w:rsidRPr="00E3356E">
            <w:rPr>
              <w:rFonts w:eastAsia="Times New Roman"/>
              <w:lang w:val="da-DK"/>
            </w:rPr>
            <w:tab/>
          </w:r>
          <w:proofErr w:type="spellStart"/>
          <w:r w:rsidRPr="00E3356E">
            <w:rPr>
              <w:rFonts w:eastAsia="Times New Roman"/>
              <w:lang w:val="da-DK"/>
            </w:rPr>
            <w:t>Furue</w:t>
          </w:r>
          <w:proofErr w:type="spellEnd"/>
          <w:r w:rsidRPr="00E3356E">
            <w:rPr>
              <w:rFonts w:eastAsia="Times New Roman"/>
              <w:lang w:val="da-DK"/>
            </w:rPr>
            <w:t xml:space="preserve"> M, </w:t>
          </w:r>
          <w:proofErr w:type="spellStart"/>
          <w:r w:rsidRPr="00E3356E">
            <w:rPr>
              <w:rFonts w:eastAsia="Times New Roman"/>
              <w:lang w:val="da-DK"/>
            </w:rPr>
            <w:t>Ebata</w:t>
          </w:r>
          <w:proofErr w:type="spellEnd"/>
          <w:r w:rsidRPr="00E3356E">
            <w:rPr>
              <w:rFonts w:eastAsia="Times New Roman"/>
              <w:lang w:val="da-DK"/>
            </w:rPr>
            <w:t xml:space="preserve"> T, </w:t>
          </w:r>
          <w:proofErr w:type="spellStart"/>
          <w:r w:rsidRPr="00E3356E">
            <w:rPr>
              <w:rFonts w:eastAsia="Times New Roman"/>
              <w:lang w:val="da-DK"/>
            </w:rPr>
            <w:t>Ikoma</w:t>
          </w:r>
          <w:proofErr w:type="spellEnd"/>
          <w:r w:rsidRPr="00E3356E">
            <w:rPr>
              <w:rFonts w:eastAsia="Times New Roman"/>
              <w:lang w:val="da-DK"/>
            </w:rPr>
            <w:t xml:space="preserve"> A, </w:t>
          </w:r>
          <w:r w:rsidRPr="00E3356E">
            <w:rPr>
              <w:rFonts w:eastAsia="Times New Roman"/>
              <w:i/>
              <w:iCs/>
              <w:lang w:val="da-DK"/>
            </w:rPr>
            <w:t>et al.</w:t>
          </w:r>
          <w:r w:rsidRPr="00E3356E">
            <w:rPr>
              <w:rFonts w:eastAsia="Times New Roman"/>
              <w:lang w:val="da-DK"/>
            </w:rPr>
            <w:t xml:space="preserve"> </w:t>
          </w:r>
          <w:r>
            <w:rPr>
              <w:rFonts w:eastAsia="Times New Roman"/>
            </w:rPr>
            <w:t xml:space="preserve">Verbalizing Extremes of the Visual Analogue Scale for Pruritus: A Consensus Statement. </w:t>
          </w:r>
          <w:r>
            <w:rPr>
              <w:rFonts w:eastAsia="Times New Roman"/>
              <w:i/>
              <w:iCs/>
            </w:rPr>
            <w:t xml:space="preserve">Acta </w:t>
          </w:r>
          <w:proofErr w:type="spellStart"/>
          <w:r>
            <w:rPr>
              <w:rFonts w:eastAsia="Times New Roman"/>
              <w:i/>
              <w:iCs/>
            </w:rPr>
            <w:t>Dermato</w:t>
          </w:r>
          <w:proofErr w:type="spellEnd"/>
          <w:r>
            <w:rPr>
              <w:rFonts w:eastAsia="Times New Roman"/>
              <w:i/>
              <w:iCs/>
            </w:rPr>
            <w:t xml:space="preserve"> </w:t>
          </w:r>
          <w:proofErr w:type="spellStart"/>
          <w:r>
            <w:rPr>
              <w:rFonts w:eastAsia="Times New Roman"/>
              <w:i/>
              <w:iCs/>
            </w:rPr>
            <w:t>Venereologica</w:t>
          </w:r>
          <w:proofErr w:type="spellEnd"/>
          <w:r>
            <w:rPr>
              <w:rFonts w:eastAsia="Times New Roman"/>
            </w:rPr>
            <w:t xml:space="preserve"> 2013; </w:t>
          </w:r>
          <w:r>
            <w:rPr>
              <w:rFonts w:eastAsia="Times New Roman"/>
              <w:b/>
              <w:bCs/>
            </w:rPr>
            <w:t>93</w:t>
          </w:r>
          <w:r>
            <w:rPr>
              <w:rFonts w:eastAsia="Times New Roman"/>
            </w:rPr>
            <w:t>:214–5.</w:t>
          </w:r>
        </w:p>
        <w:p w14:paraId="77A3F80B" w14:textId="77777777" w:rsidR="00E3356E" w:rsidRDefault="00E3356E">
          <w:pPr>
            <w:autoSpaceDE w:val="0"/>
            <w:autoSpaceDN w:val="0"/>
            <w:ind w:hanging="640"/>
            <w:divId w:val="1857766593"/>
            <w:rPr>
              <w:rFonts w:eastAsia="Times New Roman"/>
            </w:rPr>
          </w:pPr>
          <w:r>
            <w:rPr>
              <w:rFonts w:eastAsia="Times New Roman"/>
            </w:rPr>
            <w:lastRenderedPageBreak/>
            <w:t>23</w:t>
          </w:r>
          <w:r>
            <w:rPr>
              <w:rFonts w:eastAsia="Times New Roman"/>
            </w:rPr>
            <w:tab/>
            <w:t xml:space="preserve">Price D, Staud R, Robinson M. How should we use the visual analogue scale (VAS) in rehabilitation outcomes? II: Visual analogue scales as ratio scales: An alternative to the view of Kersten et al. </w:t>
          </w:r>
          <w:r>
            <w:rPr>
              <w:rFonts w:eastAsia="Times New Roman"/>
              <w:i/>
              <w:iCs/>
            </w:rPr>
            <w:t xml:space="preserve">J </w:t>
          </w:r>
          <w:proofErr w:type="spellStart"/>
          <w:r>
            <w:rPr>
              <w:rFonts w:eastAsia="Times New Roman"/>
              <w:i/>
              <w:iCs/>
            </w:rPr>
            <w:t>Rehabil</w:t>
          </w:r>
          <w:proofErr w:type="spellEnd"/>
          <w:r>
            <w:rPr>
              <w:rFonts w:eastAsia="Times New Roman"/>
              <w:i/>
              <w:iCs/>
            </w:rPr>
            <w:t xml:space="preserve"> Med</w:t>
          </w:r>
          <w:r>
            <w:rPr>
              <w:rFonts w:eastAsia="Times New Roman"/>
            </w:rPr>
            <w:t xml:space="preserve"> 2012; </w:t>
          </w:r>
          <w:r>
            <w:rPr>
              <w:rFonts w:eastAsia="Times New Roman"/>
              <w:b/>
              <w:bCs/>
            </w:rPr>
            <w:t>44</w:t>
          </w:r>
          <w:r>
            <w:rPr>
              <w:rFonts w:eastAsia="Times New Roman"/>
            </w:rPr>
            <w:t>:800–1.</w:t>
          </w:r>
        </w:p>
        <w:p w14:paraId="0532119B" w14:textId="686FC59D" w:rsidR="006F799B" w:rsidRPr="006F799B" w:rsidRDefault="00E3356E" w:rsidP="00A25AB1">
          <w:pPr>
            <w:rPr>
              <w:lang w:val="en-GB"/>
            </w:rPr>
          </w:pPr>
          <w:r>
            <w:rPr>
              <w:rFonts w:eastAsia="Times New Roman"/>
            </w:rPr>
            <w:t> </w:t>
          </w:r>
        </w:p>
      </w:sdtContent>
    </w:sdt>
    <w:sectPr w:rsidR="006F799B" w:rsidRPr="006F799B" w:rsidSect="00AC1430">
      <w:headerReference w:type="default" r:id="rId17"/>
      <w:footerReference w:type="default" r:id="rId18"/>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FF7C8" w14:textId="77777777" w:rsidR="001026E1" w:rsidRDefault="001026E1" w:rsidP="0033061D">
      <w:pPr>
        <w:spacing w:before="0" w:after="0" w:line="240" w:lineRule="auto"/>
      </w:pPr>
      <w:r>
        <w:separator/>
      </w:r>
    </w:p>
  </w:endnote>
  <w:endnote w:type="continuationSeparator" w:id="0">
    <w:p w14:paraId="136E382C" w14:textId="77777777" w:rsidR="001026E1" w:rsidRDefault="001026E1"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F88DD" w14:textId="77777777" w:rsidR="001026E1" w:rsidRDefault="001026E1" w:rsidP="0033061D">
      <w:pPr>
        <w:spacing w:before="0" w:after="0" w:line="240" w:lineRule="auto"/>
      </w:pPr>
      <w:r>
        <w:separator/>
      </w:r>
    </w:p>
  </w:footnote>
  <w:footnote w:type="continuationSeparator" w:id="0">
    <w:p w14:paraId="3B9255ED" w14:textId="77777777" w:rsidR="001026E1" w:rsidRDefault="001026E1"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0"/>
  </w:num>
  <w:num w:numId="2" w16cid:durableId="55864440">
    <w:abstractNumId w:val="22"/>
  </w:num>
  <w:num w:numId="3" w16cid:durableId="1725519085">
    <w:abstractNumId w:val="19"/>
  </w:num>
  <w:num w:numId="4" w16cid:durableId="1546139025">
    <w:abstractNumId w:val="8"/>
  </w:num>
  <w:num w:numId="5" w16cid:durableId="1978535078">
    <w:abstractNumId w:val="21"/>
  </w:num>
  <w:num w:numId="6" w16cid:durableId="1115559409">
    <w:abstractNumId w:val="23"/>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2C2B"/>
    <w:rsid w:val="00057557"/>
    <w:rsid w:val="00060EB3"/>
    <w:rsid w:val="000614E7"/>
    <w:rsid w:val="00062AB9"/>
    <w:rsid w:val="00063547"/>
    <w:rsid w:val="00067EBF"/>
    <w:rsid w:val="00081228"/>
    <w:rsid w:val="000900F9"/>
    <w:rsid w:val="000979DC"/>
    <w:rsid w:val="000A0405"/>
    <w:rsid w:val="000A197D"/>
    <w:rsid w:val="000B11C4"/>
    <w:rsid w:val="000B1676"/>
    <w:rsid w:val="000B398B"/>
    <w:rsid w:val="000C2454"/>
    <w:rsid w:val="000C5B63"/>
    <w:rsid w:val="000D5F1C"/>
    <w:rsid w:val="000E03E3"/>
    <w:rsid w:val="000E6450"/>
    <w:rsid w:val="00101AA8"/>
    <w:rsid w:val="001026E1"/>
    <w:rsid w:val="0010477F"/>
    <w:rsid w:val="00107685"/>
    <w:rsid w:val="001111E7"/>
    <w:rsid w:val="00112313"/>
    <w:rsid w:val="00122C8B"/>
    <w:rsid w:val="00132519"/>
    <w:rsid w:val="001367FE"/>
    <w:rsid w:val="001420CB"/>
    <w:rsid w:val="001503CD"/>
    <w:rsid w:val="001503E5"/>
    <w:rsid w:val="00152396"/>
    <w:rsid w:val="00153ABE"/>
    <w:rsid w:val="00154F48"/>
    <w:rsid w:val="00157EF8"/>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4886"/>
    <w:rsid w:val="001D7A92"/>
    <w:rsid w:val="001E0943"/>
    <w:rsid w:val="001E4710"/>
    <w:rsid w:val="001E4E76"/>
    <w:rsid w:val="001E6FA6"/>
    <w:rsid w:val="001F516A"/>
    <w:rsid w:val="001F5F3A"/>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851E9"/>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3913"/>
    <w:rsid w:val="003042E2"/>
    <w:rsid w:val="00305BE6"/>
    <w:rsid w:val="00307E1F"/>
    <w:rsid w:val="00313F53"/>
    <w:rsid w:val="00315396"/>
    <w:rsid w:val="003154BA"/>
    <w:rsid w:val="00322CA4"/>
    <w:rsid w:val="00325B0E"/>
    <w:rsid w:val="00325BF9"/>
    <w:rsid w:val="0033061D"/>
    <w:rsid w:val="00331793"/>
    <w:rsid w:val="00333E0A"/>
    <w:rsid w:val="00334EC7"/>
    <w:rsid w:val="00335D0C"/>
    <w:rsid w:val="00336B8E"/>
    <w:rsid w:val="00336F0F"/>
    <w:rsid w:val="00340951"/>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D0585"/>
    <w:rsid w:val="003E1930"/>
    <w:rsid w:val="003E1C43"/>
    <w:rsid w:val="003E526D"/>
    <w:rsid w:val="003F0805"/>
    <w:rsid w:val="003F15E8"/>
    <w:rsid w:val="003F1BBB"/>
    <w:rsid w:val="004015D3"/>
    <w:rsid w:val="00402442"/>
    <w:rsid w:val="00403DA0"/>
    <w:rsid w:val="00405F37"/>
    <w:rsid w:val="00407FA2"/>
    <w:rsid w:val="00413DEE"/>
    <w:rsid w:val="00417456"/>
    <w:rsid w:val="00417C9F"/>
    <w:rsid w:val="0042016F"/>
    <w:rsid w:val="00423B87"/>
    <w:rsid w:val="0042617C"/>
    <w:rsid w:val="00432EFB"/>
    <w:rsid w:val="00435B0A"/>
    <w:rsid w:val="00435D4A"/>
    <w:rsid w:val="00436398"/>
    <w:rsid w:val="00437726"/>
    <w:rsid w:val="00470A91"/>
    <w:rsid w:val="004764D1"/>
    <w:rsid w:val="004779C5"/>
    <w:rsid w:val="00481E41"/>
    <w:rsid w:val="0048512D"/>
    <w:rsid w:val="004865CD"/>
    <w:rsid w:val="004867F8"/>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4F42"/>
    <w:rsid w:val="00525CED"/>
    <w:rsid w:val="00530827"/>
    <w:rsid w:val="00531408"/>
    <w:rsid w:val="00534110"/>
    <w:rsid w:val="005418D1"/>
    <w:rsid w:val="00554FCA"/>
    <w:rsid w:val="0055733D"/>
    <w:rsid w:val="00561D6E"/>
    <w:rsid w:val="005622A7"/>
    <w:rsid w:val="00564146"/>
    <w:rsid w:val="00564605"/>
    <w:rsid w:val="0056598D"/>
    <w:rsid w:val="005729E6"/>
    <w:rsid w:val="0057502A"/>
    <w:rsid w:val="0058409C"/>
    <w:rsid w:val="00586CEE"/>
    <w:rsid w:val="00591724"/>
    <w:rsid w:val="00592A82"/>
    <w:rsid w:val="00593E7A"/>
    <w:rsid w:val="00594FD5"/>
    <w:rsid w:val="00595A7F"/>
    <w:rsid w:val="005975DB"/>
    <w:rsid w:val="005A0905"/>
    <w:rsid w:val="005A1E70"/>
    <w:rsid w:val="005A2F3A"/>
    <w:rsid w:val="005A5174"/>
    <w:rsid w:val="005B6E87"/>
    <w:rsid w:val="005C3304"/>
    <w:rsid w:val="005C3D49"/>
    <w:rsid w:val="005C57F3"/>
    <w:rsid w:val="005C64A7"/>
    <w:rsid w:val="005C73EB"/>
    <w:rsid w:val="005D4470"/>
    <w:rsid w:val="005D5358"/>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031A"/>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0387"/>
    <w:rsid w:val="007A1561"/>
    <w:rsid w:val="007A64E3"/>
    <w:rsid w:val="007B0AF6"/>
    <w:rsid w:val="007B4B31"/>
    <w:rsid w:val="007B5B10"/>
    <w:rsid w:val="007B775B"/>
    <w:rsid w:val="007B7D05"/>
    <w:rsid w:val="007D0D5A"/>
    <w:rsid w:val="007D123F"/>
    <w:rsid w:val="007D3BC6"/>
    <w:rsid w:val="007E1303"/>
    <w:rsid w:val="007E1C59"/>
    <w:rsid w:val="007E2796"/>
    <w:rsid w:val="007F01AD"/>
    <w:rsid w:val="007F1165"/>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14E9"/>
    <w:rsid w:val="00893656"/>
    <w:rsid w:val="0089566E"/>
    <w:rsid w:val="008A15A5"/>
    <w:rsid w:val="008A2BB1"/>
    <w:rsid w:val="008A41BF"/>
    <w:rsid w:val="008A5610"/>
    <w:rsid w:val="008B199B"/>
    <w:rsid w:val="008B4FBF"/>
    <w:rsid w:val="008B5922"/>
    <w:rsid w:val="008B7F1D"/>
    <w:rsid w:val="008C0B4C"/>
    <w:rsid w:val="008C1FA9"/>
    <w:rsid w:val="008C2631"/>
    <w:rsid w:val="008C3DEE"/>
    <w:rsid w:val="008C6C9A"/>
    <w:rsid w:val="008D2038"/>
    <w:rsid w:val="008D36A3"/>
    <w:rsid w:val="008D650A"/>
    <w:rsid w:val="0090017E"/>
    <w:rsid w:val="009057C7"/>
    <w:rsid w:val="009064E8"/>
    <w:rsid w:val="00906616"/>
    <w:rsid w:val="00913D43"/>
    <w:rsid w:val="0091483D"/>
    <w:rsid w:val="00915770"/>
    <w:rsid w:val="00915B9B"/>
    <w:rsid w:val="00922188"/>
    <w:rsid w:val="00922672"/>
    <w:rsid w:val="009250F5"/>
    <w:rsid w:val="00930141"/>
    <w:rsid w:val="00931BD2"/>
    <w:rsid w:val="009340CF"/>
    <w:rsid w:val="0093425F"/>
    <w:rsid w:val="0094232B"/>
    <w:rsid w:val="00943027"/>
    <w:rsid w:val="00943A4D"/>
    <w:rsid w:val="00945B41"/>
    <w:rsid w:val="00950BFC"/>
    <w:rsid w:val="00951614"/>
    <w:rsid w:val="009755E0"/>
    <w:rsid w:val="0098091A"/>
    <w:rsid w:val="009831C9"/>
    <w:rsid w:val="00990999"/>
    <w:rsid w:val="00991328"/>
    <w:rsid w:val="009950D4"/>
    <w:rsid w:val="00997096"/>
    <w:rsid w:val="00997447"/>
    <w:rsid w:val="009975E8"/>
    <w:rsid w:val="009A530E"/>
    <w:rsid w:val="009B4327"/>
    <w:rsid w:val="009C2580"/>
    <w:rsid w:val="009C7FD8"/>
    <w:rsid w:val="009D35C3"/>
    <w:rsid w:val="009E16B1"/>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56DE"/>
    <w:rsid w:val="00AA29A3"/>
    <w:rsid w:val="00AA42C5"/>
    <w:rsid w:val="00AA5FCB"/>
    <w:rsid w:val="00AB114E"/>
    <w:rsid w:val="00AB15EA"/>
    <w:rsid w:val="00AB5A78"/>
    <w:rsid w:val="00AC1430"/>
    <w:rsid w:val="00AC1636"/>
    <w:rsid w:val="00AC5088"/>
    <w:rsid w:val="00AC6888"/>
    <w:rsid w:val="00AE0799"/>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31E1"/>
    <w:rsid w:val="00C1496B"/>
    <w:rsid w:val="00C14C2E"/>
    <w:rsid w:val="00C16393"/>
    <w:rsid w:val="00C279B4"/>
    <w:rsid w:val="00C30EE1"/>
    <w:rsid w:val="00C37658"/>
    <w:rsid w:val="00C401C0"/>
    <w:rsid w:val="00C417A1"/>
    <w:rsid w:val="00C4334E"/>
    <w:rsid w:val="00C4453A"/>
    <w:rsid w:val="00C459FF"/>
    <w:rsid w:val="00C4660B"/>
    <w:rsid w:val="00C46D98"/>
    <w:rsid w:val="00C60FBB"/>
    <w:rsid w:val="00C63CC6"/>
    <w:rsid w:val="00C65582"/>
    <w:rsid w:val="00C70722"/>
    <w:rsid w:val="00C70B67"/>
    <w:rsid w:val="00C70C78"/>
    <w:rsid w:val="00C71D23"/>
    <w:rsid w:val="00C766B7"/>
    <w:rsid w:val="00C82520"/>
    <w:rsid w:val="00C86DA5"/>
    <w:rsid w:val="00C903D7"/>
    <w:rsid w:val="00C92D53"/>
    <w:rsid w:val="00C94421"/>
    <w:rsid w:val="00C94FB3"/>
    <w:rsid w:val="00CA7D5E"/>
    <w:rsid w:val="00CB2263"/>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07412"/>
    <w:rsid w:val="00D136B1"/>
    <w:rsid w:val="00D2136B"/>
    <w:rsid w:val="00D24ED9"/>
    <w:rsid w:val="00D30F52"/>
    <w:rsid w:val="00D316A6"/>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08E1"/>
    <w:rsid w:val="00DC74CB"/>
    <w:rsid w:val="00DC7D7C"/>
    <w:rsid w:val="00DD098D"/>
    <w:rsid w:val="00DD2703"/>
    <w:rsid w:val="00DD397E"/>
    <w:rsid w:val="00DD686A"/>
    <w:rsid w:val="00E07983"/>
    <w:rsid w:val="00E16686"/>
    <w:rsid w:val="00E17387"/>
    <w:rsid w:val="00E26572"/>
    <w:rsid w:val="00E315FC"/>
    <w:rsid w:val="00E32015"/>
    <w:rsid w:val="00E3356E"/>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3286"/>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112313"/>
    <w:rsid w:val="00127AA5"/>
    <w:rsid w:val="001C1D9C"/>
    <w:rsid w:val="002F3A73"/>
    <w:rsid w:val="003A49F1"/>
    <w:rsid w:val="003E0CA4"/>
    <w:rsid w:val="00402EE3"/>
    <w:rsid w:val="005A006A"/>
    <w:rsid w:val="005D5722"/>
    <w:rsid w:val="006136A1"/>
    <w:rsid w:val="006C180B"/>
    <w:rsid w:val="007C621D"/>
    <w:rsid w:val="008131D9"/>
    <w:rsid w:val="0092348C"/>
    <w:rsid w:val="0092519E"/>
    <w:rsid w:val="00987B3C"/>
    <w:rsid w:val="009C2580"/>
    <w:rsid w:val="009F1D53"/>
    <w:rsid w:val="00A251DB"/>
    <w:rsid w:val="00D42810"/>
    <w:rsid w:val="00D472D0"/>
    <w:rsid w:val="00F7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1D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Props1.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3.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4.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296</cp:revision>
  <cp:lastPrinted>2024-06-04T14:28:00Z</cp:lastPrinted>
  <dcterms:created xsi:type="dcterms:W3CDTF">2024-04-10T09:55:00Z</dcterms:created>
  <dcterms:modified xsi:type="dcterms:W3CDTF">2024-06-04T14:28:00Z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