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Накладная возврата товара</w:t>
      </w:r>
    </w:p>
    <w:p>
      <w:r>
        <w:t xml:space="preserve">№ </w:t>
      </w:r>
      <w:r>
        <w:rPr>
          <w:b/>
        </w:rPr>
        <w:t>1 от 14.12.2023</w:t>
      </w:r>
    </w:p>
    <w:p>
      <w:pPr>
        <w:pStyle w:val="Heading1"/>
      </w:pPr>
      <w:r>
        <w:t>Возвращенный товар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Материал</w:t>
            </w:r>
          </w:p>
        </w:tc>
        <w:tc>
          <w:tcPr>
            <w:tcW w:type="dxa" w:w="1728"/>
          </w:tcPr>
          <w:p>
            <w:r>
              <w:t>Магазин</w:t>
            </w:r>
          </w:p>
        </w:tc>
        <w:tc>
          <w:tcPr>
            <w:tcW w:type="dxa" w:w="1728"/>
          </w:tcPr>
          <w:p>
            <w:r>
              <w:t>Количество</w:t>
            </w:r>
          </w:p>
        </w:tc>
        <w:tc>
          <w:tcPr>
            <w:tcW w:type="dxa" w:w="1728"/>
          </w:tcPr>
          <w:p>
            <w:r>
              <w:t>Стоимость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PLA</w:t>
            </w:r>
          </w:p>
        </w:tc>
        <w:tc>
          <w:tcPr>
            <w:tcW w:type="dxa" w:w="1728"/>
          </w:tcPr>
          <w:p>
            <w:r>
              <w:t>ОЗОН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280.0</w:t>
            </w:r>
          </w:p>
        </w:tc>
      </w:tr>
    </w:tbl>
    <w:p>
      <w:r>
        <w:t>Возвращено 200.0 единиц товара на сумму 280.0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