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273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0043092-25.2017.4.03.6301/SP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21/08/2020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Sobrestado em Secretaria - Tema 1220/STJ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"Se particular que move ação própria, em decorrência de reconhecimento administrativo, operado em ação coletiva, da qual não fez parte, está jungido aos termos do acordo lá realizado."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"(i) no que toca à revisão do art. 29, II, da Lei 8.213/91, não é possível, valendo-se do título judicial formado na ação civil pública nº 0002320-59.2012.4.03.6183, inclusive dos valores em decorrência dele apurados, intentar ação para cumprimento do julgado (execução) com o objetivo de pagamento imediato, sem observância do cronograma estabelecido; (ii) o beneficiário do RGPS pode mover ação individual para revisão e/ou pagamento de parcelas vencidas decorrentes da correta aplicação do art. 29, II, da Lei 8.213/91, sem qualquer vinculação restritiva ao decidido na ação civil pública nº 0002320-59.2012.4.03.6183, inclusive no que toca ao cronograma de pagamento; (iii) intentada a ação individual, a contagem dos prazos de decadência do direito de revisão e da prescrição das parcelas vencidas deve observar o disposto no tema 134 da TNU." (Tema 273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Condomínio em edifício, Propriedade, Coisas,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