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215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0014592-08.2015.4.01.3800/MG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27/06/2019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05/11/2019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fluência do prazo prescricional de 90 dias previsto no artigo 17 do Decreto-Lei 204/67 fulmina também a possibilidade de cobrança judicial de prêmio de loteria no prazo prescricional geral de 5 anos estabelecido no Código Civil para a cobrança de dívidas líquidas constantes de instrumento público ou particular."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omissão do pretenso titular em reclamar prêmio de loteria no prazo nonagesimal previsto no art. 17 do Decreto-Lei 204/67 fulmina o próprio direito material ao prêmio, esvaziando a possibilidade de cobrança judicial no prazo prescricional de 5 anos estabelecido no Código Civil." (Tema 215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Licença Prêmio, Sistema Remuneratório e Benefícios, Militar,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