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0043092-25.2017.4.03.6301/SP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21/08/2020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Sobrestado em Secretaria - Tema 1220/STJ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"Se particular que move ação própria, em decorrência de reconhecimento administrativo, operado em ação coletiva, da qual não fez parte, está jungido aos termos do acordo lá realizado."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no que toca à revisão do art. 29, II, da Lei 8.213/91, não é possível, valendo-se do título judicial formado na ação civil pública nº 0002320-59.2012.4.03.6183, inclusive dos valores em decorrência dele apurados, intentar ação para cumprimento do julgado (execução) com o objetivo de pagamento imediato, sem observância do cronograma estabelecido; (ii) o beneficiário do RGPS pode mover ação individual para revisão e/ou pagamento de parcelas vencidas decorrentes da correta aplicação do art. 29, II, da Lei 8.213/91, sem qualquer vinculação restritiva ao decidido na ação civil pública nº 0002320-59.2012.4.03.6183, inclusive no que toca ao cronograma de pagamento; (iii) intentada a ação individual, a contagem dos prazos de decadência do direito de revisão e da prescrição das parcelas vencidas deve observar o disposto no tema 134 da TNU." (Tema 273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Anuidades OAB, Conselhos Regionais de Fiscalização Profissional e Afins, Organização Político-administrativa / Administração Pública, DIREITO ADMINISTRATIVO E OUTRAS MATÉRIAS DE DIREITO PÚBLICO, Extinção da Execução, Liquidação / Cumprimento / Execução, DIREITO PROCESSUAL CIVIL E DO TRABALHO, Nulidade / Inexigibilidade do Título, Liquidação / Cumprimento / Execução,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