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0043092-25.2017.4.03.6301/SP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21/08/2020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Sobrestado em Secretaria - Tema 1220/STJ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"Se particular que move ação própria, em decorrência de reconhecimento administrativo, operado em ação coletiva, da qual não fez parte, está jungido aos termos do acordo lá realizado."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no que toca à revisão do art. 29, II, da Lei 8.213/91, não é possível, valendo-se do título judicial formado na ação civil pública nº 0002320-59.2012.4.03.6183, inclusive dos valores em decorrência dele apurados, intentar ação para cumprimento do julgado (execução) com o objetivo de pagamento imediato, sem observância do cronograma estabelecido; (ii) o beneficiário do RGPS pode mover ação individual para revisão e/ou pagamento de parcelas vencidas decorrentes da correta aplicação do art. 29, II, da Lei 8.213/91, sem qualquer vinculação restritiva ao decidido na ação civil pública nº 0002320-59.2012.4.03.6183, inclusive no que toca ao cronograma de pagamento; (iii) intentada a ação individual, a contagem dos prazos de decadência do direito de revisão e da prescrição das parcelas vencidas deve observar o disposto no tema 134 da TNU." (Tema 273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