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5012755-25.2015.4.04.7201/SC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01/06/2017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1º/9/2020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segurado que exerce atividades em condições especiais, quando em gozo do benefício por incapacidade, faz jus ou não ao cômputo de tal intervalo como especial."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período de auxílio-doença de natureza previdenciária, independente de comprovação da relação da moléstia com a atividade profissional do segurado, deve ser considerado como tempo especial quando trabalhador exercia atividade especial antes do afastamento. Tese no mesmo sentido do Tema 998/STJ: O Segurado que exerce atividades em condições especiais, quando em gozo de auxílio-doença, seja acidentário ou previdenciário, faz jus ao cômputo desse mesmo período como tempo de serviço especial. Obs.: com base no § 1º do art. 1.036 do CPC, foi admitido como representativo de controvérsia o recurso extraordinário interposto contra acórdão proferido no julgamento do Recurso Especial n. 1.723.181/RS (Tema Repetitivo n. 998/STJ). OBS: O STF, no julgamento do Tema 1107 (RE 1279819), decidiu que não há repercussão geral acerca da matéria." (Tema 165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