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BookAntiqua-bold.ttf" ContentType="application/x-font-ttf"/>
  <Override PartName="/word/fonts/BookAntiqua-boldItalic.ttf" ContentType="application/x-font-ttf"/>
  <Override PartName="/word/fonts/BookAntiqua-italic.ttf" ContentType="application/x-font-ttf"/>
  <Override PartName="/word/fonts/BookAntiqua-regular.ttf" ContentType="application/x-font-ttf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2E">
      <w:pPr>
        <w:spacing w:after="280" w:before="280" w:line="288" w:lineRule="auto"/>
        <w:ind w:right="20" w:firstLine="20"/>
        <w:jc w:val="both"/>
        <w:rPr>
          <w:rFonts w:ascii="Times New Roman" w:cs="Times New Roman" w:eastAsia="Times New Roman" w:hAnsi="Times New Roman"/>
          <w:color w:val="052229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 xml:space="preserve">Verifica-se que a questão objeto da controvérsia jurídica suscitada no recurso manejado pela parte recorrente esteve afetada no representativo da controvérsia -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52229"/>
          <w:sz w:val="26"/>
          <w:szCs w:val="26"/>
          <w:rtl w:val="0"/>
        </w:rPr>
        <w:t xml:space="preserve">Tema n.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52229"/>
          <w:sz w:val="26"/>
          <w:szCs w:val="26"/>
          <w:highlight w:val="yellow"/>
          <w:rtl w:val="0"/>
        </w:rPr>
        <w:t>249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 xml:space="preserve"> da TNU - (PU no processo n. 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highlight w:val="yellow"/>
          <w:rtl w:val="0"/>
        </w:rPr>
        <w:t>PEDILEF 5004221-60.2018.4.04.7113/RS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>),  afetado em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highlight w:val="yellow"/>
          <w:rtl w:val="0"/>
        </w:rPr>
        <w:t xml:space="preserve"> 12/03/2020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 xml:space="preserve"> foi julgado (trânsito em julgado em 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highlight w:val="yellow"/>
          <w:rtl w:val="0"/>
        </w:rPr>
        <w:t>29/01/2021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>), por meio do qual foi elucidada a seguinte questão:</w:t>
      </w:r>
    </w:p>
    <w:p w:rsidR="00000000" w:rsidDel="00000000" w:rsidP="00000000" w:rsidRDefault="00000000" w:rsidRPr="00000000" w14:paraId="0000002F">
      <w:pPr>
        <w:spacing w:after="280" w:before="280" w:line="240" w:lineRule="auto"/>
        <w:ind w:left="2267.716535433071" w:firstLine="0"/>
        <w:jc w:val="both"/>
        <w:rPr>
          <w:rFonts w:ascii="Times New Roman" w:cs="Times New Roman" w:eastAsia="Times New Roman" w:hAnsi="Times New Roman"/>
          <w:i w:val="1"/>
          <w:iCs w:val="1"/>
          <w:color w:val="052229"/>
          <w:highlight w:val="yellow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highlight w:val="yellow"/>
          <w:rtl w:val="0"/>
        </w:rPr>
        <w:t>"Saber quais os requisitos exigidos à comprovação da deficiência física para o reconhecimento do direito à isenção de IPI incidente na aquisição do veículo automotor, nos termos do artigo 1º da Lei 8.989/95 e artigo 72 da Lei 8.383/91."</w:t>
      </w:r>
    </w:p>
    <w:p w:rsidR="00000000" w:rsidDel="00000000" w:rsidP="00000000" w:rsidRDefault="00000000" w:rsidRPr="00000000" w14:paraId="00000030">
      <w:pPr>
        <w:spacing w:after="280" w:before="280" w:line="288" w:lineRule="auto"/>
        <w:ind w:right="20" w:firstLine="20"/>
        <w:jc w:val="both"/>
        <w:rPr>
          <w:rFonts w:ascii="Times New Roman" w:cs="Times New Roman" w:eastAsia="Times New Roman" w:hAnsi="Times New Roman"/>
          <w:color w:val="052229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>Restou firmada a seguinte tese:</w:t>
      </w:r>
    </w:p>
    <w:p w:rsidR="00000000" w:rsidDel="00000000" w:rsidP="00000000" w:rsidRDefault="00000000" w:rsidRPr="00000000" w14:paraId="00000031">
      <w:pPr>
        <w:spacing w:after="280" w:before="280" w:line="240" w:lineRule="auto"/>
        <w:ind w:left="2267.716535433071" w:firstLine="0"/>
        <w:jc w:val="both"/>
        <w:rPr>
          <w:rFonts w:ascii="Times New Roman" w:cs="Times New Roman" w:eastAsia="Times New Roman" w:hAnsi="Times New Roman"/>
          <w:i w:val="1"/>
          <w:iCs w:val="1"/>
          <w:color w:val="052229"/>
          <w:highlight w:val="yellow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highlight w:val="yellow"/>
          <w:rtl w:val="0"/>
        </w:rPr>
        <w:t>"A comprovação da deficiência, para fins de isenção de IPI incidente na aquisição do veículo automotor, nos termos do artigo 1º da Lei 8.989/95, não exige a adaptação do veículo ou o registro de restrições na carteira nacional de habilitação (CNH)." (Tema 249 TNU).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052229"/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rtl w:val="0"/>
        </w:rPr>
      </w:r>
    </w:p>
    <w:p w:rsidR="00000000" w:rsidDel="00000000" w:rsidP="00000000" w:rsidRDefault="00000000" w:rsidRPr="00000000" w14:paraId="00000032">
      <w:pPr>
        <w:spacing w:after="280" w:before="280" w:line="288" w:lineRule="auto"/>
        <w:ind w:right="20" w:firstLine="20"/>
        <w:jc w:val="both"/>
        <w:rPr>
          <w:rFonts w:ascii="Times New Roman" w:cs="Times New Roman" w:eastAsia="Times New Roman" w:hAnsi="Times New Roman"/>
          <w:color w:val="052229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52229"/>
          <w:sz w:val="24"/>
          <w:szCs w:val="24"/>
          <w:rtl w:val="0"/>
        </w:rPr>
        <w:t xml:space="preserve">Com efeito, depreende-se da leitura do voto condutor do acórdão que 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4"/>
          <w:szCs w:val="24"/>
          <w:highlight w:val="yellow"/>
          <w:rtl w:val="0"/>
        </w:rPr>
        <w:t>o mesmo se encontra em conformidade com o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4"/>
          <w:szCs w:val="24"/>
          <w:rtl w:val="0"/>
        </w:rPr>
        <w:t xml:space="preserve"> decidido no  tema pela TNU.</w:t>
      </w:r>
    </w:p>
    <w:p w:rsidR="00000000" w:rsidDel="00000000" w:rsidP="00000000" w:rsidRDefault="00000000" w:rsidRPr="00000000" w14:paraId="00000033">
      <w:pPr>
        <w:spacing w:after="280" w:before="280" w:line="288" w:lineRule="auto"/>
        <w:ind w:right="20" w:firstLine="20"/>
        <w:jc w:val="both"/>
        <w:rPr>
          <w:rFonts w:ascii="Times New Roman" w:cs="Times New Roman" w:eastAsia="Times New Roman" w:hAnsi="Times New Roman"/>
          <w:color w:val="052229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 xml:space="preserve">A proposito, consta do acordao hostilizado: 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highlight w:val="yellow"/>
          <w:rtl w:val="0"/>
        </w:rPr>
        <w:t>(...) CNH - Carteira Nacional de Habilitação, Sistema Nacional de Trânsito, DIREITO ADMINISTRATIVO E OUTRAS MATÉRIAS DE DIREITO PÚBLICO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spacing w:after="280" w:before="280" w:lineRule="auto"/>
        <w:ind w:right="20" w:firstLine="20"/>
        <w:jc w:val="both"/>
        <w:rPr>
          <w:rFonts w:ascii="Times New Roman" w:cs="Times New Roman" w:eastAsia="Times New Roman" w:hAnsi="Times New Roman"/>
          <w:color w:val="052229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 xml:space="preserve">Nessas condições, o conteúdo do Acórdão recorrido é consentâneo com o entendimento da TNU, firmado em julgamento de recurso representativo de controvérsia, o que atrai a incidência da regra prevista pelo art. 14, III,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sz w:val="26"/>
          <w:szCs w:val="26"/>
          <w:rtl w:val="0"/>
        </w:rPr>
        <w:t>b,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 xml:space="preserve"> da Resolução CJF n. 586/2019:</w:t>
      </w:r>
    </w:p>
    <w:p w:rsidR="00000000" w:rsidDel="00000000" w:rsidP="00000000" w:rsidRDefault="00000000" w:rsidRPr="00000000" w14:paraId="00000035">
      <w:pPr>
        <w:spacing w:after="280" w:before="280" w:line="240" w:lineRule="auto"/>
        <w:ind w:left="2267.716535433071" w:firstLine="0"/>
        <w:jc w:val="both"/>
        <w:rPr>
          <w:rFonts w:ascii="Times New Roman" w:cs="Times New Roman" w:eastAsia="Times New Roman" w:hAnsi="Times New Roman"/>
          <w:i w:val="1"/>
          <w:iCs w:val="1"/>
          <w:color w:val="052229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052229"/>
          <w:rtl w:val="0"/>
        </w:rPr>
        <w:t>Art. 14.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rtl w:val="0"/>
        </w:rPr>
        <w:t xml:space="preserve"> Decorrido o prazo para contrarrazões, os autos serão conclusos ao magistrado responsável pelo exame preliminar de admissibilidade, que deverá, de forma sucessiva: (...)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052229"/>
          <w:rtl w:val="0"/>
        </w:rPr>
        <w:t xml:space="preserve">III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rtl w:val="0"/>
        </w:rPr>
        <w:t xml:space="preserve">- negar seguimento a pedido de uniformização de interpretação de lei federal interposto contra acórdão que esteja em conformidade com entendimento consolidado: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052229"/>
          <w:rtl w:val="0"/>
        </w:rPr>
        <w:t>b)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rtl w:val="0"/>
        </w:rPr>
        <w:t xml:space="preserve"> em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052229"/>
          <w:u w:val="single"/>
          <w:rtl w:val="0"/>
        </w:rPr>
        <w:t>recurso representativo de controvérsia pela Turma Nacional de Uniformização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rtl w:val="0"/>
        </w:rPr>
        <w:t xml:space="preserve"> ou em pedido de uniformização de interpretação de lei dirigido ao Superior Tribunal de Justiça;(...).</w:t>
      </w:r>
    </w:p>
    <w:p w:rsidR="00000000" w:rsidDel="00000000" w:rsidP="00000000" w:rsidRDefault="00000000" w:rsidRPr="00000000" w14:paraId="00000036">
      <w:pPr>
        <w:spacing w:after="280" w:before="280" w:lineRule="auto"/>
        <w:ind w:right="20" w:firstLine="20"/>
        <w:jc w:val="both"/>
        <w:rPr>
          <w:rFonts w:ascii="Times New Roman" w:cs="Times New Roman" w:eastAsia="Times New Roman" w:hAnsi="Times New Roman"/>
          <w:b w:val="1"/>
          <w:bCs w:val="1"/>
          <w:color w:val="052229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 xml:space="preserve">Posto isso, com arrimo no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52229"/>
          <w:sz w:val="26"/>
          <w:szCs w:val="26"/>
          <w:u w:val="single"/>
          <w:rtl w:val="0"/>
        </w:rPr>
        <w:t xml:space="preserve">art. 14, III,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052229"/>
          <w:sz w:val="26"/>
          <w:szCs w:val="26"/>
          <w:u w:val="single"/>
          <w:rtl w:val="0"/>
        </w:rPr>
        <w:t>b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sz w:val="26"/>
          <w:szCs w:val="26"/>
          <w:rtl w:val="0"/>
        </w:rPr>
        <w:t>,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 xml:space="preserve"> da Resolução CJF n. 586/2019 c/c art. 1.030, I, do CPC,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52229"/>
          <w:sz w:val="26"/>
          <w:szCs w:val="26"/>
          <w:rtl w:val="0"/>
        </w:rPr>
        <w:t xml:space="preserve">NEGO SEGUIMENTO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52229"/>
          <w:sz w:val="26"/>
          <w:szCs w:val="26"/>
          <w:rtl w:val="0"/>
        </w:rPr>
        <w:t>a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>o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52229"/>
          <w:sz w:val="26"/>
          <w:szCs w:val="26"/>
          <w:rtl w:val="0"/>
        </w:rPr>
        <w:t xml:space="preserve"> PU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52229"/>
          <w:sz w:val="26"/>
          <w:szCs w:val="26"/>
          <w:rtl w:val="0"/>
        </w:rPr>
        <w:t>.</w:t>
      </w:r>
    </w:p>
    <w:p w:rsidR="00000000" w:rsidDel="00000000" w:rsidP="00000000" w:rsidRDefault="00000000" w:rsidRPr="00000000" w14:paraId="00000037">
      <w:pPr>
        <w:spacing w:after="280" w:before="280" w:lineRule="auto"/>
        <w:ind w:right="20" w:firstLine="20"/>
        <w:jc w:val="both"/>
        <w:rPr>
          <w:rFonts w:ascii="Times New Roman" w:cs="Times New Roman" w:eastAsia="Times New Roman" w:hAnsi="Times New Roman"/>
          <w:color w:val="052229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>Intimem-se. Aguarde-se o decurso do prazo recursal. Após, certifique-se o trânsito em julgado e devolva-se ao juízo de origem.</w:t>
      </w:r>
      <w:r w:rsidDel="00000000" w:rsidR="00000000" w:rsidRPr="00000000"/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  <w:font w:name="Book Antiqua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drive.google.com/drive/folders/1METimKnzKK0ULSqE7UedO_5nH3JVJHt0" TargetMode="External"/><Relationship Id="rId7" Type="http://schemas.openxmlformats.org/officeDocument/2006/relationships/hyperlink" Target="https://docs.google.com/spreadsheets/d/1Mjmsh7iDH9Pdv7vV2IYMBhhOHuKVtkGlYzEh7ipgZ4g/edit?gid=923871152#gid=923871152" TargetMode="External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BookAntiqua-regular.ttf"/><Relationship Id="rId2" Type="http://schemas.openxmlformats.org/officeDocument/2006/relationships/font" Target="fonts/BookAntiqua-bold.ttf"/><Relationship Id="rId3" Type="http://schemas.openxmlformats.org/officeDocument/2006/relationships/font" Target="fonts/BookAntiqua-italic.ttf"/><Relationship Id="rId4" Type="http://schemas.openxmlformats.org/officeDocument/2006/relationships/font" Target="fonts/BookAntiqua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