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BookAntiqua-bold.ttf" ContentType="application/x-font-ttf"/>
  <Override PartName="/word/fonts/BookAntiqua-boldItalic.ttf" ContentType="application/x-font-ttf"/>
  <Override PartName="/word/fonts/BookAntiqua-italic.ttf" ContentType="application/x-font-ttf"/>
  <Override PartName="/word/fonts/BookAntiqua-regular.ttf" ContentType="application/x-font-ttf"/>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2E">
      <w:pPr>
        <w:spacing w:after="280" w:before="280" w:line="288" w:lineRule="auto"/>
        <w:ind w:right="20" w:firstLine="20"/>
        <w:jc w:val="both"/>
        <w:rPr>
          <w:rFonts w:ascii="Times New Roman" w:cs="Times New Roman" w:eastAsia="Times New Roman" w:hAnsi="Times New Roman"/>
          <w:color w:val="052229"/>
          <w:sz w:val="26"/>
          <w:szCs w:val="26"/>
        </w:rPr>
      </w:pPr>
      <w:r w:rsidDel="00000000" w:rsidR="00000000" w:rsidRPr="00000000">
        <w:rPr>
          <w:rFonts w:ascii="Times New Roman" w:cs="Times New Roman" w:eastAsia="Times New Roman" w:hAnsi="Times New Roman"/>
          <w:color w:val="052229"/>
          <w:sz w:val="26"/>
          <w:szCs w:val="26"/>
          <w:rtl w:val="0"/>
        </w:rPr>
        <w:t xml:space="preserve">Verifica-se que a questão objeto da controvérsia jurídica suscitada no recurso manejado pela parte recorrente esteve afetada no representativo da controvérsia - </w:t>
      </w:r>
      <w:r w:rsidDel="00000000" w:rsidR="00000000" w:rsidRPr="00000000">
        <w:rPr>
          <w:rFonts w:ascii="Times New Roman" w:cs="Times New Roman" w:eastAsia="Times New Roman" w:hAnsi="Times New Roman"/>
          <w:b w:val="1"/>
          <w:bCs w:val="1"/>
          <w:color w:val="052229"/>
          <w:sz w:val="26"/>
          <w:szCs w:val="26"/>
          <w:rtl w:val="0"/>
        </w:rPr>
        <w:t xml:space="preserve">Tema n. </w:t>
      </w:r>
      <w:r w:rsidDel="00000000" w:rsidR="00000000" w:rsidRPr="00000000">
        <w:rPr>
          <w:rFonts w:ascii="Times New Roman" w:cs="Times New Roman" w:eastAsia="Times New Roman" w:hAnsi="Times New Roman"/>
          <w:b w:val="1"/>
          <w:bCs w:val="1"/>
          <w:color w:val="052229"/>
          <w:sz w:val="26"/>
          <w:szCs w:val="26"/>
          <w:highlight w:val="yellow"/>
          <w:rtl w:val="0"/>
        </w:rPr>
        <w:t>313</w:t>
      </w:r>
      <w:r w:rsidDel="00000000" w:rsidR="00000000" w:rsidRPr="00000000">
        <w:rPr>
          <w:rFonts w:ascii="Times New Roman" w:cs="Times New Roman" w:eastAsia="Times New Roman" w:hAnsi="Times New Roman"/>
          <w:color w:val="052229"/>
          <w:sz w:val="26"/>
          <w:szCs w:val="26"/>
          <w:rtl w:val="0"/>
        </w:rPr>
        <w:t xml:space="preserve"> da TNU - (PU no processo n. </w:t>
      </w:r>
      <w:r w:rsidDel="00000000" w:rsidR="00000000" w:rsidRPr="00000000">
        <w:rPr>
          <w:rFonts w:ascii="Times New Roman" w:cs="Times New Roman" w:eastAsia="Times New Roman" w:hAnsi="Times New Roman"/>
          <w:color w:val="052229"/>
          <w:sz w:val="26"/>
          <w:szCs w:val="26"/>
          <w:highlight w:val="yellow"/>
          <w:rtl w:val="0"/>
        </w:rPr>
        <w:t>PEDILEF 0000436-65.2021.4.05.8400/RN</w:t>
      </w:r>
      <w:r w:rsidDel="00000000" w:rsidR="00000000" w:rsidRPr="00000000">
        <w:rPr>
          <w:rFonts w:ascii="Times New Roman" w:cs="Times New Roman" w:eastAsia="Times New Roman" w:hAnsi="Times New Roman"/>
          <w:color w:val="052229"/>
          <w:sz w:val="26"/>
          <w:szCs w:val="26"/>
          <w:rtl w:val="0"/>
        </w:rPr>
        <w:t>),  afetado em</w:t>
      </w:r>
      <w:r w:rsidDel="00000000" w:rsidR="00000000" w:rsidRPr="00000000">
        <w:rPr>
          <w:rFonts w:ascii="Times New Roman" w:cs="Times New Roman" w:eastAsia="Times New Roman" w:hAnsi="Times New Roman"/>
          <w:color w:val="052229"/>
          <w:sz w:val="26"/>
          <w:szCs w:val="26"/>
          <w:highlight w:val="yellow"/>
          <w:rtl w:val="0"/>
        </w:rPr>
        <w:t xml:space="preserve"> 10/11/2022</w:t>
      </w:r>
      <w:r w:rsidDel="00000000" w:rsidR="00000000" w:rsidRPr="00000000">
        <w:rPr>
          <w:rFonts w:ascii="Times New Roman" w:cs="Times New Roman" w:eastAsia="Times New Roman" w:hAnsi="Times New Roman"/>
          <w:color w:val="052229"/>
          <w:sz w:val="26"/>
          <w:szCs w:val="26"/>
          <w:rtl w:val="0"/>
        </w:rPr>
        <w:t xml:space="preserve"> foi julgado (trânsito em julgado em </w:t>
      </w:r>
      <w:r w:rsidDel="00000000" w:rsidR="00000000" w:rsidRPr="00000000">
        <w:rPr>
          <w:rFonts w:ascii="Times New Roman" w:cs="Times New Roman" w:eastAsia="Times New Roman" w:hAnsi="Times New Roman"/>
          <w:color w:val="052229"/>
          <w:sz w:val="26"/>
          <w:szCs w:val="26"/>
          <w:highlight w:val="yellow"/>
          <w:rtl w:val="0"/>
        </w:rPr>
        <w:t>RE admitido (RE 1455038/DF)</w:t>
      </w:r>
      <w:r w:rsidDel="00000000" w:rsidR="00000000" w:rsidRPr="00000000">
        <w:rPr>
          <w:rFonts w:ascii="Times New Roman" w:cs="Times New Roman" w:eastAsia="Times New Roman" w:hAnsi="Times New Roman"/>
          <w:color w:val="052229"/>
          <w:sz w:val="26"/>
          <w:szCs w:val="26"/>
          <w:rtl w:val="0"/>
        </w:rPr>
        <w:t>), por meio do qual foi elucidada a seguinte questão:</w:t>
      </w:r>
    </w:p>
    <w:p w:rsidR="00000000" w:rsidDel="00000000" w:rsidP="00000000" w:rsidRDefault="00000000" w:rsidRPr="00000000" w14:paraId="0000002F">
      <w:pPr>
        <w:spacing w:after="280" w:before="280" w:line="240" w:lineRule="auto"/>
        <w:ind w:left="2267.716535433071" w:firstLine="0"/>
        <w:jc w:val="both"/>
        <w:rPr>
          <w:rFonts w:ascii="Times New Roman" w:cs="Times New Roman" w:eastAsia="Times New Roman" w:hAnsi="Times New Roman"/>
          <w:i w:val="1"/>
          <w:iCs w:val="1"/>
          <w:color w:val="052229"/>
          <w:highlight w:val="yellow"/>
        </w:rPr>
      </w:pPr>
      <w:r w:rsidDel="00000000" w:rsidR="00000000" w:rsidRPr="00000000">
        <w:rPr>
          <w:rFonts w:ascii="Times New Roman" w:cs="Times New Roman" w:eastAsia="Times New Roman" w:hAnsi="Times New Roman"/>
          <w:i w:val="1"/>
          <w:iCs w:val="1"/>
          <w:color w:val="052229"/>
          <w:highlight w:val="yellow"/>
          <w:rtl w:val="0"/>
        </w:rPr>
        <w:t>"Saber se a suspensão da prova de concurso para cargo público da Polícia Civil do Estado do Paraná, por força da pandemia da Covid 19, é suficiente para a caracterização do dano moral do candidato."</w:t>
      </w:r>
    </w:p>
    <w:p w:rsidR="00000000" w:rsidDel="00000000" w:rsidP="00000000" w:rsidRDefault="00000000" w:rsidRPr="00000000" w14:paraId="00000030">
      <w:pPr>
        <w:spacing w:after="280" w:before="280" w:line="288" w:lineRule="auto"/>
        <w:ind w:right="20" w:firstLine="20"/>
        <w:jc w:val="both"/>
        <w:rPr>
          <w:rFonts w:ascii="Times New Roman" w:cs="Times New Roman" w:eastAsia="Times New Roman" w:hAnsi="Times New Roman"/>
          <w:color w:val="052229"/>
          <w:sz w:val="26"/>
          <w:szCs w:val="26"/>
        </w:rPr>
      </w:pPr>
      <w:r w:rsidDel="00000000" w:rsidR="00000000" w:rsidRPr="00000000">
        <w:rPr>
          <w:rFonts w:ascii="Times New Roman" w:cs="Times New Roman" w:eastAsia="Times New Roman" w:hAnsi="Times New Roman"/>
          <w:color w:val="052229"/>
          <w:sz w:val="26"/>
          <w:szCs w:val="26"/>
          <w:rtl w:val="0"/>
        </w:rPr>
        <w:t>Restou firmada a seguinte tese:</w:t>
      </w:r>
    </w:p>
    <w:p w:rsidR="00000000" w:rsidDel="00000000" w:rsidP="00000000" w:rsidRDefault="00000000" w:rsidRPr="00000000" w14:paraId="00000031">
      <w:pPr>
        <w:spacing w:after="280" w:before="280" w:line="240" w:lineRule="auto"/>
        <w:ind w:left="2267.716535433071" w:firstLine="0"/>
        <w:jc w:val="both"/>
        <w:rPr>
          <w:rFonts w:ascii="Times New Roman" w:cs="Times New Roman" w:eastAsia="Times New Roman" w:hAnsi="Times New Roman"/>
          <w:i w:val="1"/>
          <w:iCs w:val="1"/>
          <w:color w:val="052229"/>
          <w:highlight w:val="yellow"/>
        </w:rPr>
      </w:pPr>
      <w:r w:rsidDel="00000000" w:rsidR="00000000" w:rsidRPr="00000000">
        <w:rPr>
          <w:rFonts w:ascii="Times New Roman" w:cs="Times New Roman" w:eastAsia="Times New Roman" w:hAnsi="Times New Roman"/>
          <w:i w:val="1"/>
          <w:iCs w:val="1"/>
          <w:color w:val="052229"/>
          <w:highlight w:val="yellow"/>
          <w:rtl w:val="0"/>
        </w:rPr>
        <w:t>"A suspensão da prova de concurso público para provimento de cargos da Polícia Civil do Estado do Paraná, em meio à pandemia da Covid-19, pode levar à responsabilidade da Universidade Federal do Paraná - UFPR, organizadora do certame, à compensação de dano moral, se comprovada a grave exposição do candidato à contaminação, pela frequência a locais públicos, como aeroportos e rodoviárias, com grande quantidade de pessoas e ampla circulação do vírus." (Tema 313 TNU).</w:t>
      </w:r>
      <w:r w:rsidDel="00000000" w:rsidR="00000000" w:rsidRPr="00000000">
        <w:rPr>
          <w:rFonts w:ascii="Times New Roman" w:cs="Times New Roman" w:eastAsia="Times New Roman" w:hAnsi="Times New Roman"/>
          <w:b w:val="1"/>
          <w:bCs w:val="1"/>
          <w:i w:val="1"/>
          <w:iCs w:val="1"/>
          <w:color w:val="052229"/>
          <w:rtl w:val="0"/>
        </w:rPr>
      </w:r>
      <w:r w:rsidDel="00000000" w:rsidR="00000000" w:rsidRPr="00000000">
        <w:rPr>
          <w:rFonts w:ascii="Times New Roman" w:cs="Times New Roman" w:eastAsia="Times New Roman" w:hAnsi="Times New Roman"/>
          <w:i w:val="1"/>
          <w:iCs w:val="1"/>
          <w:color w:val="052229"/>
          <w:rtl w:val="0"/>
        </w:rPr>
      </w:r>
    </w:p>
    <w:p w:rsidR="00000000" w:rsidDel="00000000" w:rsidP="00000000" w:rsidRDefault="00000000" w:rsidRPr="00000000" w14:paraId="00000032">
      <w:pPr>
        <w:spacing w:after="280" w:before="280" w:line="288" w:lineRule="auto"/>
        <w:ind w:right="20" w:firstLine="20"/>
        <w:jc w:val="both"/>
        <w:rPr>
          <w:rFonts w:ascii="Times New Roman" w:cs="Times New Roman" w:eastAsia="Times New Roman" w:hAnsi="Times New Roman"/>
          <w:color w:val="052229"/>
          <w:sz w:val="24"/>
          <w:szCs w:val="24"/>
        </w:rPr>
      </w:pPr>
      <w:r w:rsidDel="00000000" w:rsidR="00000000" w:rsidRPr="00000000">
        <w:rPr>
          <w:rFonts w:ascii="Times New Roman" w:cs="Times New Roman" w:eastAsia="Times New Roman" w:hAnsi="Times New Roman"/>
          <w:color w:val="052229"/>
          <w:sz w:val="24"/>
          <w:szCs w:val="24"/>
          <w:rtl w:val="0"/>
        </w:rPr>
        <w:t xml:space="preserve">Com efeito, depreende-se da leitura do voto condutor do acórdão que </w:t>
      </w:r>
      <w:r w:rsidDel="00000000" w:rsidR="00000000" w:rsidRPr="00000000">
        <w:rPr>
          <w:rFonts w:ascii="Times New Roman" w:cs="Times New Roman" w:eastAsia="Times New Roman" w:hAnsi="Times New Roman"/>
          <w:color w:val="052229"/>
          <w:sz w:val="24"/>
          <w:szCs w:val="24"/>
          <w:highlight w:val="yellow"/>
          <w:rtl w:val="0"/>
        </w:rPr>
        <w:t>o mesmo se encontra em conformidade com o</w:t>
      </w:r>
      <w:r w:rsidDel="00000000" w:rsidR="00000000" w:rsidRPr="00000000">
        <w:rPr>
          <w:rFonts w:ascii="Times New Roman" w:cs="Times New Roman" w:eastAsia="Times New Roman" w:hAnsi="Times New Roman"/>
          <w:color w:val="052229"/>
          <w:sz w:val="24"/>
          <w:szCs w:val="24"/>
          <w:rtl w:val="0"/>
        </w:rPr>
        <w:t xml:space="preserve"> decidido no  tema pela TNU.</w:t>
      </w:r>
    </w:p>
    <w:p w:rsidR="00000000" w:rsidDel="00000000" w:rsidP="00000000" w:rsidRDefault="00000000" w:rsidRPr="00000000" w14:paraId="00000033">
      <w:pPr>
        <w:spacing w:after="280" w:before="280" w:line="288" w:lineRule="auto"/>
        <w:ind w:right="20" w:firstLine="20"/>
        <w:jc w:val="both"/>
        <w:rPr>
          <w:rFonts w:ascii="Times New Roman" w:cs="Times New Roman" w:eastAsia="Times New Roman" w:hAnsi="Times New Roman"/>
          <w:color w:val="052229"/>
          <w:sz w:val="26"/>
          <w:szCs w:val="26"/>
        </w:rPr>
      </w:pPr>
      <w:r w:rsidDel="00000000" w:rsidR="00000000" w:rsidRPr="00000000">
        <w:rPr>
          <w:rFonts w:ascii="Times New Roman" w:cs="Times New Roman" w:eastAsia="Times New Roman" w:hAnsi="Times New Roman"/>
          <w:color w:val="052229"/>
          <w:sz w:val="26"/>
          <w:szCs w:val="26"/>
          <w:rtl w:val="0"/>
        </w:rPr>
        <w:t xml:space="preserve">A proposito, consta do acordao hostilizado: </w:t>
      </w:r>
      <w:r w:rsidDel="00000000" w:rsidR="00000000" w:rsidRPr="00000000">
        <w:rPr>
          <w:rFonts w:ascii="Times New Roman" w:cs="Times New Roman" w:eastAsia="Times New Roman" w:hAnsi="Times New Roman"/>
          <w:color w:val="052229"/>
          <w:sz w:val="26"/>
          <w:szCs w:val="26"/>
          <w:highlight w:val="yellow"/>
          <w:rtl w:val="0"/>
        </w:rPr>
        <w:t>(...) Indenização por dano moral, Responsabilidade civil, DIREITO CIVIL, Indenização por dano material, Responsabilidade civil, DIREITO CIVIL, Indenização por Dano Moral, Responsabilidade do Fornecedor, DIREITO DO CONSUMIDOR, Indenização por Dano Material, Responsabilidade do Fornecedor, DIREITO DO CONSUMIDOR</w:t>
      </w:r>
      <w:r w:rsidDel="00000000" w:rsidR="00000000" w:rsidRPr="00000000">
        <w:rPr>
          <w:rtl w:val="0"/>
        </w:rPr>
      </w:r>
    </w:p>
    <w:p w:rsidR="00000000" w:rsidDel="00000000" w:rsidP="00000000" w:rsidRDefault="00000000" w:rsidRPr="00000000" w14:paraId="00000034">
      <w:pPr>
        <w:spacing w:after="280" w:before="280" w:lineRule="auto"/>
        <w:ind w:right="20" w:firstLine="20"/>
        <w:jc w:val="both"/>
        <w:rPr>
          <w:rFonts w:ascii="Times New Roman" w:cs="Times New Roman" w:eastAsia="Times New Roman" w:hAnsi="Times New Roman"/>
          <w:color w:val="052229"/>
          <w:sz w:val="26"/>
          <w:szCs w:val="26"/>
        </w:rPr>
      </w:pPr>
      <w:r w:rsidDel="00000000" w:rsidR="00000000" w:rsidRPr="00000000">
        <w:rPr>
          <w:rFonts w:ascii="Times New Roman" w:cs="Times New Roman" w:eastAsia="Times New Roman" w:hAnsi="Times New Roman"/>
          <w:color w:val="052229"/>
          <w:sz w:val="26"/>
          <w:szCs w:val="26"/>
          <w:rtl w:val="0"/>
        </w:rPr>
        <w:t xml:space="preserve">Nessas condições, o conteúdo do Acórdão recorrido é consentâneo com o entendimento da TNU, firmado em julgamento de recurso representativo de controvérsia, o que atrai a incidência da regra prevista pelo art. 14, III, </w:t>
      </w:r>
      <w:r w:rsidDel="00000000" w:rsidR="00000000" w:rsidRPr="00000000">
        <w:rPr>
          <w:rFonts w:ascii="Times New Roman" w:cs="Times New Roman" w:eastAsia="Times New Roman" w:hAnsi="Times New Roman"/>
          <w:i w:val="1"/>
          <w:iCs w:val="1"/>
          <w:color w:val="052229"/>
          <w:sz w:val="26"/>
          <w:szCs w:val="26"/>
          <w:rtl w:val="0"/>
        </w:rPr>
        <w:t>b,</w:t>
      </w:r>
      <w:r w:rsidDel="00000000" w:rsidR="00000000" w:rsidRPr="00000000">
        <w:rPr>
          <w:rFonts w:ascii="Times New Roman" w:cs="Times New Roman" w:eastAsia="Times New Roman" w:hAnsi="Times New Roman"/>
          <w:color w:val="052229"/>
          <w:sz w:val="26"/>
          <w:szCs w:val="26"/>
          <w:rtl w:val="0"/>
        </w:rPr>
        <w:t xml:space="preserve"> da Resolução CJF n. 586/2019:</w:t>
      </w:r>
    </w:p>
    <w:p w:rsidR="00000000" w:rsidDel="00000000" w:rsidP="00000000" w:rsidRDefault="00000000" w:rsidRPr="00000000" w14:paraId="00000035">
      <w:pPr>
        <w:spacing w:after="280" w:before="280" w:line="240" w:lineRule="auto"/>
        <w:ind w:left="2267.716535433071" w:firstLine="0"/>
        <w:jc w:val="both"/>
        <w:rPr>
          <w:rFonts w:ascii="Times New Roman" w:cs="Times New Roman" w:eastAsia="Times New Roman" w:hAnsi="Times New Roman"/>
          <w:i w:val="1"/>
          <w:iCs w:val="1"/>
          <w:color w:val="052229"/>
        </w:rPr>
      </w:pPr>
      <w:r w:rsidDel="00000000" w:rsidR="00000000" w:rsidRPr="00000000">
        <w:rPr>
          <w:rFonts w:ascii="Times New Roman" w:cs="Times New Roman" w:eastAsia="Times New Roman" w:hAnsi="Times New Roman"/>
          <w:b w:val="1"/>
          <w:bCs w:val="1"/>
          <w:i w:val="1"/>
          <w:iCs w:val="1"/>
          <w:color w:val="052229"/>
          <w:rtl w:val="0"/>
        </w:rPr>
        <w:t>Art. 14.</w:t>
      </w:r>
      <w:r w:rsidDel="00000000" w:rsidR="00000000" w:rsidRPr="00000000">
        <w:rPr>
          <w:rFonts w:ascii="Times New Roman" w:cs="Times New Roman" w:eastAsia="Times New Roman" w:hAnsi="Times New Roman"/>
          <w:i w:val="1"/>
          <w:iCs w:val="1"/>
          <w:color w:val="052229"/>
          <w:rtl w:val="0"/>
        </w:rPr>
        <w:t xml:space="preserve"> Decorrido o prazo para contrarrazões, os autos serão conclusos ao magistrado responsável pelo exame preliminar de admissibilidade, que deverá, de forma sucessiva: (...) </w:t>
      </w:r>
      <w:r w:rsidDel="00000000" w:rsidR="00000000" w:rsidRPr="00000000">
        <w:rPr>
          <w:rFonts w:ascii="Times New Roman" w:cs="Times New Roman" w:eastAsia="Times New Roman" w:hAnsi="Times New Roman"/>
          <w:b w:val="1"/>
          <w:bCs w:val="1"/>
          <w:i w:val="1"/>
          <w:iCs w:val="1"/>
          <w:color w:val="052229"/>
          <w:rtl w:val="0"/>
        </w:rPr>
        <w:t xml:space="preserve">III </w:t>
      </w:r>
      <w:r w:rsidDel="00000000" w:rsidR="00000000" w:rsidRPr="00000000">
        <w:rPr>
          <w:rFonts w:ascii="Times New Roman" w:cs="Times New Roman" w:eastAsia="Times New Roman" w:hAnsi="Times New Roman"/>
          <w:i w:val="1"/>
          <w:iCs w:val="1"/>
          <w:color w:val="052229"/>
          <w:rtl w:val="0"/>
        </w:rPr>
        <w:t xml:space="preserve">- negar seguimento a pedido de uniformização de interpretação de lei federal interposto contra acórdão que esteja em conformidade com entendimento consolidado: </w:t>
      </w:r>
      <w:r w:rsidDel="00000000" w:rsidR="00000000" w:rsidRPr="00000000">
        <w:rPr>
          <w:rFonts w:ascii="Times New Roman" w:cs="Times New Roman" w:eastAsia="Times New Roman" w:hAnsi="Times New Roman"/>
          <w:b w:val="1"/>
          <w:bCs w:val="1"/>
          <w:i w:val="1"/>
          <w:iCs w:val="1"/>
          <w:color w:val="052229"/>
          <w:rtl w:val="0"/>
        </w:rPr>
        <w:t>b)</w:t>
      </w:r>
      <w:r w:rsidDel="00000000" w:rsidR="00000000" w:rsidRPr="00000000">
        <w:rPr>
          <w:rFonts w:ascii="Times New Roman" w:cs="Times New Roman" w:eastAsia="Times New Roman" w:hAnsi="Times New Roman"/>
          <w:i w:val="1"/>
          <w:iCs w:val="1"/>
          <w:color w:val="052229"/>
          <w:rtl w:val="0"/>
        </w:rPr>
        <w:t xml:space="preserve"> em </w:t>
      </w:r>
      <w:r w:rsidDel="00000000" w:rsidR="00000000" w:rsidRPr="00000000">
        <w:rPr>
          <w:rFonts w:ascii="Times New Roman" w:cs="Times New Roman" w:eastAsia="Times New Roman" w:hAnsi="Times New Roman"/>
          <w:b w:val="1"/>
          <w:bCs w:val="1"/>
          <w:i w:val="1"/>
          <w:iCs w:val="1"/>
          <w:color w:val="052229"/>
          <w:u w:val="single"/>
          <w:rtl w:val="0"/>
        </w:rPr>
        <w:t>recurso representativo de controvérsia pela Turma Nacional de Uniformização</w:t>
      </w:r>
      <w:r w:rsidDel="00000000" w:rsidR="00000000" w:rsidRPr="00000000">
        <w:rPr>
          <w:rFonts w:ascii="Times New Roman" w:cs="Times New Roman" w:eastAsia="Times New Roman" w:hAnsi="Times New Roman"/>
          <w:i w:val="1"/>
          <w:iCs w:val="1"/>
          <w:color w:val="052229"/>
          <w:rtl w:val="0"/>
        </w:rPr>
        <w:t xml:space="preserve"> ou em pedido de uniformização de interpretação de lei dirigido ao Superior Tribunal de Justiça;(...).</w:t>
      </w:r>
    </w:p>
    <w:p w:rsidR="00000000" w:rsidDel="00000000" w:rsidP="00000000" w:rsidRDefault="00000000" w:rsidRPr="00000000" w14:paraId="00000036">
      <w:pPr>
        <w:spacing w:after="280" w:before="280" w:lineRule="auto"/>
        <w:ind w:right="20" w:firstLine="20"/>
        <w:jc w:val="both"/>
        <w:rPr>
          <w:rFonts w:ascii="Times New Roman" w:cs="Times New Roman" w:eastAsia="Times New Roman" w:hAnsi="Times New Roman"/>
          <w:b w:val="1"/>
          <w:bCs w:val="1"/>
          <w:color w:val="052229"/>
          <w:sz w:val="26"/>
          <w:szCs w:val="26"/>
        </w:rPr>
      </w:pPr>
      <w:r w:rsidDel="00000000" w:rsidR="00000000" w:rsidRPr="00000000">
        <w:rPr>
          <w:rFonts w:ascii="Times New Roman" w:cs="Times New Roman" w:eastAsia="Times New Roman" w:hAnsi="Times New Roman"/>
          <w:color w:val="052229"/>
          <w:sz w:val="26"/>
          <w:szCs w:val="26"/>
          <w:rtl w:val="0"/>
        </w:rPr>
        <w:t xml:space="preserve">Posto isso, com arrimo no </w:t>
      </w:r>
      <w:r w:rsidDel="00000000" w:rsidR="00000000" w:rsidRPr="00000000">
        <w:rPr>
          <w:rFonts w:ascii="Times New Roman" w:cs="Times New Roman" w:eastAsia="Times New Roman" w:hAnsi="Times New Roman"/>
          <w:b w:val="1"/>
          <w:bCs w:val="1"/>
          <w:color w:val="052229"/>
          <w:sz w:val="26"/>
          <w:szCs w:val="26"/>
          <w:u w:val="single"/>
          <w:rtl w:val="0"/>
        </w:rPr>
        <w:t xml:space="preserve">art. 14, III, </w:t>
      </w:r>
      <w:r w:rsidDel="00000000" w:rsidR="00000000" w:rsidRPr="00000000">
        <w:rPr>
          <w:rFonts w:ascii="Times New Roman" w:cs="Times New Roman" w:eastAsia="Times New Roman" w:hAnsi="Times New Roman"/>
          <w:b w:val="1"/>
          <w:bCs w:val="1"/>
          <w:i w:val="1"/>
          <w:iCs w:val="1"/>
          <w:color w:val="052229"/>
          <w:sz w:val="26"/>
          <w:szCs w:val="26"/>
          <w:u w:val="single"/>
          <w:rtl w:val="0"/>
        </w:rPr>
        <w:t>b</w:t>
      </w:r>
      <w:r w:rsidDel="00000000" w:rsidR="00000000" w:rsidRPr="00000000">
        <w:rPr>
          <w:rFonts w:ascii="Times New Roman" w:cs="Times New Roman" w:eastAsia="Times New Roman" w:hAnsi="Times New Roman"/>
          <w:i w:val="1"/>
          <w:iCs w:val="1"/>
          <w:color w:val="052229"/>
          <w:sz w:val="26"/>
          <w:szCs w:val="26"/>
          <w:rtl w:val="0"/>
        </w:rPr>
        <w:t>,</w:t>
      </w:r>
      <w:r w:rsidDel="00000000" w:rsidR="00000000" w:rsidRPr="00000000">
        <w:rPr>
          <w:rFonts w:ascii="Times New Roman" w:cs="Times New Roman" w:eastAsia="Times New Roman" w:hAnsi="Times New Roman"/>
          <w:color w:val="052229"/>
          <w:sz w:val="26"/>
          <w:szCs w:val="26"/>
          <w:rtl w:val="0"/>
        </w:rPr>
        <w:t xml:space="preserve"> da Resolução CJF n. 586/2019 c/c art. 1.030, I, do CPC, </w:t>
      </w:r>
      <w:r w:rsidDel="00000000" w:rsidR="00000000" w:rsidRPr="00000000">
        <w:rPr>
          <w:rFonts w:ascii="Times New Roman" w:cs="Times New Roman" w:eastAsia="Times New Roman" w:hAnsi="Times New Roman"/>
          <w:b w:val="1"/>
          <w:bCs w:val="1"/>
          <w:color w:val="052229"/>
          <w:sz w:val="26"/>
          <w:szCs w:val="26"/>
          <w:rtl w:val="0"/>
        </w:rPr>
        <w:t xml:space="preserve">NEGO SEGUIMENTO </w:t>
      </w:r>
      <w:r w:rsidDel="00000000" w:rsidR="00000000" w:rsidRPr="00000000">
        <w:rPr>
          <w:rFonts w:ascii="Times New Roman" w:cs="Times New Roman" w:eastAsia="Times New Roman" w:hAnsi="Times New Roman"/>
          <w:b w:val="1"/>
          <w:bCs w:val="1"/>
          <w:color w:val="052229"/>
          <w:sz w:val="26"/>
          <w:szCs w:val="26"/>
          <w:rtl w:val="0"/>
        </w:rPr>
        <w:t>a</w:t>
      </w:r>
      <w:r w:rsidDel="00000000" w:rsidR="00000000" w:rsidRPr="00000000">
        <w:rPr>
          <w:rFonts w:ascii="Times New Roman" w:cs="Times New Roman" w:eastAsia="Times New Roman" w:hAnsi="Times New Roman"/>
          <w:color w:val="052229"/>
          <w:sz w:val="26"/>
          <w:szCs w:val="26"/>
          <w:rtl w:val="0"/>
        </w:rPr>
        <w:t>o</w:t>
      </w:r>
      <w:r w:rsidDel="00000000" w:rsidR="00000000" w:rsidRPr="00000000">
        <w:rPr>
          <w:rFonts w:ascii="Times New Roman" w:cs="Times New Roman" w:eastAsia="Times New Roman" w:hAnsi="Times New Roman"/>
          <w:b w:val="1"/>
          <w:bCs w:val="1"/>
          <w:color w:val="052229"/>
          <w:sz w:val="26"/>
          <w:szCs w:val="26"/>
          <w:rtl w:val="0"/>
        </w:rPr>
        <w:t xml:space="preserve"> PU</w:t>
      </w:r>
      <w:r w:rsidDel="00000000" w:rsidR="00000000" w:rsidRPr="00000000">
        <w:rPr>
          <w:rFonts w:ascii="Times New Roman" w:cs="Times New Roman" w:eastAsia="Times New Roman" w:hAnsi="Times New Roman"/>
          <w:b w:val="1"/>
          <w:bCs w:val="1"/>
          <w:color w:val="052229"/>
          <w:sz w:val="26"/>
          <w:szCs w:val="26"/>
          <w:rtl w:val="0"/>
        </w:rPr>
        <w:t>.</w:t>
      </w:r>
    </w:p>
    <w:p w:rsidR="00000000" w:rsidDel="00000000" w:rsidP="00000000" w:rsidRDefault="00000000" w:rsidRPr="00000000" w14:paraId="00000037">
      <w:pPr>
        <w:spacing w:after="280" w:before="280" w:lineRule="auto"/>
        <w:ind w:right="20" w:firstLine="20"/>
        <w:jc w:val="both"/>
        <w:rPr>
          <w:rFonts w:ascii="Times New Roman" w:cs="Times New Roman" w:eastAsia="Times New Roman" w:hAnsi="Times New Roman"/>
          <w:color w:val="052229"/>
          <w:sz w:val="26"/>
          <w:szCs w:val="26"/>
        </w:rPr>
      </w:pPr>
      <w:r w:rsidDel="00000000" w:rsidR="00000000" w:rsidRPr="00000000">
        <w:rPr>
          <w:rFonts w:ascii="Times New Roman" w:cs="Times New Roman" w:eastAsia="Times New Roman" w:hAnsi="Times New Roman"/>
          <w:color w:val="052229"/>
          <w:sz w:val="26"/>
          <w:szCs w:val="26"/>
          <w:rtl w:val="0"/>
        </w:rPr>
        <w:t>Intimem-se. Aguarde-se o decurso do prazo recursal. Após, certifique-se o trânsito em julgado e devolva-se ao juízo de origem.</w:t>
      </w:r>
      <w:r w:rsidDel="00000000" w:rsidR="00000000" w:rsidRPr="00000000"/>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Book Antiqu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rive.google.com/drive/folders/1METimKnzKK0ULSqE7UedO_5nH3JVJHt0" TargetMode="External"/><Relationship Id="rId7" Type="http://schemas.openxmlformats.org/officeDocument/2006/relationships/hyperlink" Target="https://docs.google.com/spreadsheets/d/1Mjmsh7iDH9Pdv7vV2IYMBhhOHuKVtkGlYzEh7ipgZ4g/edit?gid=923871152#gid=923871152"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BookAntiqua-regular.ttf"/><Relationship Id="rId2" Type="http://schemas.openxmlformats.org/officeDocument/2006/relationships/font" Target="fonts/BookAntiqua-bold.ttf"/><Relationship Id="rId3" Type="http://schemas.openxmlformats.org/officeDocument/2006/relationships/font" Target="fonts/BookAntiqua-italic.ttf"/><Relationship Id="rId4" Type="http://schemas.openxmlformats.org/officeDocument/2006/relationships/font" Target="fonts/BookAntiqu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