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da Administração, DIREITO ADMINISTRATIVO E OUTRAS MATÉRIAS DE DIREITO PÚBLICO, Indenização por dano material,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