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Restituição de benefício previdenciário pago indevidamente, Pedidos Genéricos Relativos aos Benefícios em Espécie, DIREITO PREVIDENCIÁRIO, Indenização por Dano Material, Responsabilidade da Administração, DIREITO ADMINISTRATIVO E OUTRAS MATÉRIAS DE DIREITO PÚBLICO,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