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0506200-37.2014.4.05.8200/PB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26/06/2020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24/11/2020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se, para a aplicação do interstício de 18 meses, previsto no art. 7º, § 2º, Lei n. 10.855/2004, para a promoção e progressão funcional na “carreira do seguro social” havia, ou não, a necessidade de regulamentação, conforme previsto no art. 8º da citada lei, com a redação que lhe foi dada pela Lei n. 11.501, de 2007."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"Para a aplicação do interstício de 18 meses, previsto no art. 7.º, §2º, da Lei n.º 10.855/2004, enquanto vigente a redação dada pela Lei n.º 11.501/2007, para a promoção e progressão funcional na carreira do seguro social, havia a necessidade de regulamentação, conforme previsto no art. 8.º da citada Lei." (Tema 271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Progressão Funcional com Interstício de Doze Meses, Promoção / Ascensão, Regime Estatutário, Servidor Público Civil, DIREITO ADMINISTRATIVO E OUTRAS MATÉRIAS DE DIREITO PÚBLICO, Sistema Remuneratório e Benefícios, Servidor Público Civil, DIREITO ADMINISTRATIVO E OUTRAS MATÉRIAS DE DIREITO PÚBLICO, Progressão, Plano de Carreira, VALORIZAÇÃO DO MAGISTÉRIO E DOS PROFISSIONAIS DA EDUCAÇÃO, DIREITO À 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