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294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5010596-85.2020.4.02.5101/RJ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28/06/2021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RE 1412919/RJ (sobrestado em Secretaria, pelo Tema 1289/STF, por determinação do Pretório Excelso)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a pontuação mínima da Gratificação de Desempenho de Atividade do Seguro Social - GDASS, fixada pela Lei 13.324/2016 para o pessoal da ativa em 70 pontos, possui caráter genérico, devendo, por isso, ser estendida, nesse patamar, ao pessoal inativo com direito a paridade, mesmo depois de iniciados os ciclos de avaliação."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pontuação mínima da Gratificação de Desempenho de Atividade do Seguro Social - GDASS, fixada em 70 (setenta) pontos pelo § 1º do art. 11 da Lei 10.855/2004, na redação dada pela Lei 13.324/2016, para integrante em atividade da Carreira do Seguro Social, possui caráter genérico, não obstante a realização de ciclos de avaliação, devendo, por isso, ser estendida, naquele patamar, a inativo e a pensionista com direito a paridade." (Tema 294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Gratificação de Desempenho de Atividade do Seguro Social - GDASS, Gratificações Por Atividades Específicas, Sistema Remuneratório e Benefícios, Servidor Público Civil,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