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157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5009522-37.2012.4.04.7003/PR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13/10/2014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presumida a periculosidade da atividade do frentista e se é devido o reconhecimento da especialidade do serviço prestado, com a consequente conversão em tempo comum, para fins de concessão de aposentadoria por tempo de contribuição."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"Não há presunção legal de periculosidade da atividade do frentista, sendo devida a conversão de tempo especial em comum, para concessão de aposentadoria por tempo de contribuição, desde que comprovado o exercício da atividade e o contato com os agentes nocivos por formulário ou laudo, tendo em vista se tratar de atividade não enquadrada no rol dos Decretos n. 53.831/64 e 83.080/79." (Tema 157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PREVIDENCIÁRIO, Averbação/Cômputo/Conversão de tempo de serviço especial, Tempo de serviço, DIREITO PREVIDENCIÁRIO, Averbação/Cômputo de tempo de serviço urbano, Tempo de serviço,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