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PÚBLICO, Progressão Funcional com Interstício de Doze Meses, Promoção / Ascensão, Regime Estatutário,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