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Repetição do Indébito, Responsabilidade do Fornecedor, DIREITO DO CONSUMIDOR, Inclusão Indevida em Cadastro de Inadimplentes, Indenização por Dano Moral,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