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BookAntiqua-bold.ttf" ContentType="application/x-font-ttf"/>
  <Override PartName="/word/fonts/BookAntiqua-boldItalic.ttf" ContentType="application/x-font-ttf"/>
  <Override PartName="/word/fonts/BookAntiqua-italic.ttf" ContentType="application/x-font-ttf"/>
  <Override PartName="/word/fonts/BookAntiqua-regular.ttf" ContentType="application/x-font-ttf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2E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Verifica-se que a questão objeto da controvérsia jurídica suscitada no recurso manejado pela parte recorrente esteve afetada no representativo da controvérsia -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 xml:space="preserve">Tema n.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highlight w:val="yellow"/>
          <w:rtl w:val="0"/>
        </w:rPr>
        <w:t>182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da TNU - (PU no processo n.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>PEDILEF 0507558-39.2016.4.05.8500/SE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),  afetado em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 xml:space="preserve"> 26/06/2018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foi julgado (trânsito em julgado em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>26/02/2019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), por meio do qual foi elucidada a seguinte questão:</w:t>
      </w:r>
    </w:p>
    <w:p w:rsidR="00000000" w:rsidDel="00000000" w:rsidP="00000000" w:rsidRDefault="00000000" w:rsidRPr="00000000" w14:paraId="0000002F">
      <w:pPr>
        <w:spacing w:after="280" w:before="280" w:line="240" w:lineRule="auto"/>
        <w:ind w:left="2267.716535433071" w:firstLine="0"/>
        <w:jc w:val="both"/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  <w:rtl w:val="0"/>
        </w:rPr>
        <w:t>"Saber se a suspensão/cancelamento indevidos do pagamento de seguro-desemprego gera dano moral in re ipsa."</w:t>
      </w:r>
    </w:p>
    <w:p w:rsidR="00000000" w:rsidDel="00000000" w:rsidP="00000000" w:rsidRDefault="00000000" w:rsidRPr="00000000" w14:paraId="00000030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Restou firmada a seguinte tese:</w:t>
      </w:r>
    </w:p>
    <w:p w:rsidR="00000000" w:rsidDel="00000000" w:rsidP="00000000" w:rsidRDefault="00000000" w:rsidRPr="00000000" w14:paraId="00000031">
      <w:pPr>
        <w:spacing w:after="280" w:before="280" w:line="240" w:lineRule="auto"/>
        <w:ind w:left="2267.716535433071" w:firstLine="0"/>
        <w:jc w:val="both"/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  <w:rtl w:val="0"/>
        </w:rPr>
        <w:t>"O cancelamento ou a suspensão indevida do pagamento das parcelas alusivas ao seguro-desemprego não gera, “ipso facto”, o direito à indenização por danos morais." (Tema 182 TNU).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</w:r>
    </w:p>
    <w:p w:rsidR="00000000" w:rsidDel="00000000" w:rsidP="00000000" w:rsidRDefault="00000000" w:rsidRPr="00000000" w14:paraId="00000032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4"/>
          <w:szCs w:val="24"/>
          <w:rtl w:val="0"/>
        </w:rPr>
        <w:t xml:space="preserve">Com efeito, depreende-se da leitura do voto condutor do acórdão que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4"/>
          <w:szCs w:val="24"/>
          <w:highlight w:val="yellow"/>
          <w:rtl w:val="0"/>
        </w:rPr>
        <w:t>o mesmo se encontra em conformidade com o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4"/>
          <w:szCs w:val="24"/>
          <w:rtl w:val="0"/>
        </w:rPr>
        <w:t xml:space="preserve"> decidido no  tema pela TNU.</w:t>
      </w:r>
    </w:p>
    <w:p w:rsidR="00000000" w:rsidDel="00000000" w:rsidP="00000000" w:rsidRDefault="00000000" w:rsidRPr="00000000" w14:paraId="00000033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A proposito, consta do acordao hostilizado: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>(...) Repetição do Indébito, Responsabilidade do Fornecedor, DIREITO DO CONSUMIDOR, Indenização por Dano Material, Responsabilidade do Fornecedor, DIREITO DO CONSUMIDOR, Indenização por Dano Moral, Responsabilidade do Fornecedor, DIREITO DO CONSUMIDOR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280" w:before="280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Nessas condições, o conteúdo do Acórdão recorrido é consentâneo com o entendimento da TNU, firmado em julgamento de recurso representativo de controvérsia, o que atrai a incidência da regra prevista pelo art. 14, III,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sz w:val="26"/>
          <w:szCs w:val="26"/>
          <w:rtl w:val="0"/>
        </w:rPr>
        <w:t>b,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da Resolução CJF n. 586/2019:</w:t>
      </w:r>
    </w:p>
    <w:p w:rsidR="00000000" w:rsidDel="00000000" w:rsidP="00000000" w:rsidRDefault="00000000" w:rsidRPr="00000000" w14:paraId="00000035">
      <w:pPr>
        <w:spacing w:after="280" w:before="280" w:line="240" w:lineRule="auto"/>
        <w:ind w:left="2267.716535433071" w:firstLine="0"/>
        <w:jc w:val="both"/>
        <w:rPr>
          <w:rFonts w:ascii="Times New Roman" w:cs="Times New Roman" w:eastAsia="Times New Roman" w:hAnsi="Times New Roman"/>
          <w:i w:val="1"/>
          <w:iCs w:val="1"/>
          <w:color w:val="052229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  <w:t>Art. 14.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 Decorrido o prazo para contrarrazões, os autos serão conclusos ao magistrado responsável pelo exame preliminar de admissibilidade, que deverá, de forma sucessiva: (...)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  <w:t xml:space="preserve">III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- negar seguimento a pedido de uniformização de interpretação de lei federal interposto contra acórdão que esteja em conformidade com entendimento consolidado: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  <w:t>b)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 em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u w:val="single"/>
          <w:rtl w:val="0"/>
        </w:rPr>
        <w:t>recurso representativo de controvérsia pela Turma Nacional de Uniformização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 ou em pedido de uniformização de interpretação de lei dirigido ao Superior Tribunal de Justiça;(...).</w:t>
      </w:r>
    </w:p>
    <w:p w:rsidR="00000000" w:rsidDel="00000000" w:rsidP="00000000" w:rsidRDefault="00000000" w:rsidRPr="00000000" w14:paraId="00000036">
      <w:pPr>
        <w:spacing w:after="280" w:before="280" w:lineRule="auto"/>
        <w:ind w:right="20" w:firstLine="20"/>
        <w:jc w:val="both"/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Posto isso, com arrimo no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u w:val="single"/>
          <w:rtl w:val="0"/>
        </w:rPr>
        <w:t xml:space="preserve">art. 14, III,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sz w:val="26"/>
          <w:szCs w:val="26"/>
          <w:u w:val="single"/>
          <w:rtl w:val="0"/>
        </w:rPr>
        <w:t>b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sz w:val="26"/>
          <w:szCs w:val="26"/>
          <w:rtl w:val="0"/>
        </w:rPr>
        <w:t>,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da Resolução CJF n. 586/2019 c/c art. 1.030, I, do CPC,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 xml:space="preserve">NEGO SEGUIMENTO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>a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o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 xml:space="preserve"> PU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>.</w:t>
      </w:r>
    </w:p>
    <w:p w:rsidR="00000000" w:rsidDel="00000000" w:rsidP="00000000" w:rsidRDefault="00000000" w:rsidRPr="00000000" w14:paraId="00000037">
      <w:pPr>
        <w:spacing w:after="280" w:before="280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Intimem-se. Aguarde-se o decurso do prazo recursal. Após, certifique-se o trânsito em julgado e devolva-se ao juízo de origem.</w:t>
      </w:r>
      <w:r w:rsidDel="00000000" w:rsidR="00000000" w:rsidRPr="00000000"/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Book Antiqu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drive.google.com/drive/folders/1METimKnzKK0ULSqE7UedO_5nH3JVJHt0" TargetMode="External"/><Relationship Id="rId7" Type="http://schemas.openxmlformats.org/officeDocument/2006/relationships/hyperlink" Target="https://docs.google.com/spreadsheets/d/1Mjmsh7iDH9Pdv7vV2IYMBhhOHuKVtkGlYzEh7ipgZ4g/edit?gid=923871152#gid=923871152" TargetMode="Externa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BookAntiqua-regular.ttf"/><Relationship Id="rId2" Type="http://schemas.openxmlformats.org/officeDocument/2006/relationships/font" Target="fonts/BookAntiqua-bold.ttf"/><Relationship Id="rId3" Type="http://schemas.openxmlformats.org/officeDocument/2006/relationships/font" Target="fonts/BookAntiqua-italic.ttf"/><Relationship Id="rId4" Type="http://schemas.openxmlformats.org/officeDocument/2006/relationships/font" Target="fonts/BookAntiqua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