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329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0003563-65.2020.4.03.6342/SP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17/5/2023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24/04/2024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ou não incidência de imposto de renda sobre valores recebidos a título de extinção de contrato de representação comercial mediante distrato (resilição bilateral do contrato)."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"1- A verba paga pelo representado ao representante comercial a título de indenização por força da extinção do contrato de representação comercial por vontade dos dois contratantes (resilição bilateral) tem o objetivo de reparar eventual dano patrimonial acarretado, detendo caráter indenizatório e sobre ela não incide imposto de renda. 2- O art. 27, alínea 'j', da Lei n° 4.886, de 09 de dezembro de 1965, com redação dada pela Lei nº 8.420, de 8.5.1992 aplica-se, pois, a extinção contratual unilateral sem motivo justificado ou a dissolução do contrato pela resilição bilateral." (Tema 329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Incidência sobre Aposentadoria, IRPF/Imposto de Renda de Pessoa Física, Impostos, DIREITO TRIBUTÁRIO, Indenização por Dano Moral, Responsabilidade da Administração,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