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TRIBUTÁRIO, Retido na fonte, IRPF/Imposto de Renda de Pessoa Física, Impostos, DIREITO TRIBUTÁRIO, Incidência sobre Férias Compensadas,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