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Repetição de Indébito, Crédito Tributário, DIREITO TRIBUTÁRIO, Fato Gerador/Incidência,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