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335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5029053-17.2021.4.03.6100/SP PEDILEF 1050950-69.2021.4.01.3500/GO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16/08/2023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Feito sobrestado até o julgamento do Tema 1290/STJ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se é devido o pagamento de salário maternidade à segurada gestante cujo serviço desempenhado é incompatível com a prestação de atividades à distância, tendo em vista o disposto na Lei nº 14.151/2021, que prevê o afastamento das atividades presenciais da segurada gestante durante a emergência de saúde pública decorrente do novo Coronavírus."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"Enquadra-se como salário-maternidade a remuneração paga às trabalhadoras gestantes afastadas por força da Lei 14.151/21, quando comprovada a incompatibilidade com o trabalho à distância e for inviável a alteração de suas funções." (Tema 335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Fornecimento de medicamentos, Pública, DIREITO DA SAÚDE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