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0500774-49.2016.4.05.8305/PE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24/02/2017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02/10/2018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são os reflexos das novas regras constantes na MP nº 739/2016 (§§ 8º e 9º do art. 60 da Lei 8.213/1991) na fixação da data de cessação do benefício auxílio-doença e da exigência, quando for o caso, do pedido de prorrogação, bem como se são aplicáveis aos benefícios concedidos e às demandas ajuizadas em momento anterior à sua vigência."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"Por não vislumbrar ilegalidade na fixação de data estimada para a cessação do auxílio-doença, ou mesmo na convocação do segurado para nova avaliação da persistência das condições que levaram à concessão do benefício na via judicial, a Turma Nacional de Uniformização, por unanimidade, firmou as seguintes teses: a) os benefícios de auxílio-doença concedidos judicial ou administrativamente, sem Data de Cessação de Benefício (DCB), ainda que anteriormente à edição da MP nº 739/2016, podem ser objeto de revisão administrativa, na forma e prazos previstos em lei e demais normas que regulamentam a matéria, por meio de prévia convocação dos segurados pelo INSS, para avaliar se persistem os motivos de concessão do benefício; b) os benefícios concedidos, reativados ou prorrogados posteriormente à publicação da MP nº 767/2017, convertida na Lei n.º 13.457/17, devem, nos termos da lei, ter a sua DCB fixada, sendo desnecessária, nesses casos, a realização de nova perícia para a cessação do benefício; c) em qualquer caso, o segurado poderá pedir a prorrogação do benefício, com garantia de pagamento até a realização da perícia médica." (Tema 164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Férias, Sistema Remuneratório e Benefícios, Militar,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