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2009.72.51.000312-4/ 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15/04/2010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18/11/2011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pedido de revisão de benefício de aposentadoria por tempo de contribuição para fins de reconhecimento de tempo especial por categoria profissional depende de prévio requerimento administrativo quando o INSS, apesar de ciente dos elementos necessários, não se pronunciou sobre a especialidade de período anterior à Lei n. 9.032/95."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dispensável prévio requerimento administrativo de revisão de aposentadoria por tempo de contribuição quando houver omissão da autarquia na análise do tempo especial anterior à Lei n. 9.032/95." (Tema 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Tempo de Contribuição (Art. 55/6), Benefícios em Espécie, DIREITO PREVIDENCIÁRIO, Averbação/Cômputo/Conversão de tempo de serviço especial, Tempo de serviço,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