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5002880-91.2016.4.04.7105/RS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06/11/2019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1413882/RS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auxílio-alimentação, pago em espécie e com habitualidade, por meio de vale-alimentação ou na forma de tickets, tem natureza salarial e integra o salário de contribuição para fins de cálculo da renda mensal inicial (RMI)."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"I) Anteriormente à vigência da Lei n. 13.416/2017, o auxílio-alimentação, pago em espécie e com habitualidade ou por meio de vale-alimentação/cartão ou tíquete-refeição/alimentação ou equivalente, integra a remuneração, constitui base de incidência da contribuição previdenciária patronal e do segurado, refletindo no cálculo da renda mensal inicial do benefício, esteja a empresa inscrita ou não no Programa de Alimentação do Trabalhador - PAT; II) A partir de 11/11/2017, com a vigência da Lei n. 13.416/2017, que conferiu nova redação ao § 2º do art. 457 da CLT, somente o pagamento do auxílio-alimentação em dinheiro integra a remuneração, constitui base de incidência da contribuição previdenciária patronal e do segurado, refletindo no cálculo da renda mensal inicial do benefício, esteja a empresa inscrita ou não no Programa de Alimentação do Trabalhador - PAT." (Tema 244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RMI - Renda Mensal Inicial, RMI - Renda Mensal Inicial, Reajustes e Revisões Específicas,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