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2008.32.00.702790-2/ AM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24/11/2011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26/11/2013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possível aplicar orientação firmada pelo STF, no RE 597389/SP, aos casos onde já há coisa julgada."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"Não se aplica orientação firmada no RE 597389/SP , no cálculo dos benefícios concedidos antes da n. Lei 9.032/95, cujas sentenças transitaram em julgado quando pronunciamento do STF, ressalvado os casos previstos no art. 475, "l", parágrafo 1º, do CPC revogado. Vide Tema 28." (Tema 90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Descontos Indevidos, Pedidos Genéricos Relativos aos Benefícios em Espécie, DIREITO PREVIDENCIÁRIO, Competência, Jurisdição e Competência,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