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244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5002880-91.2016.4.04.7105/RS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06/11/2019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RE 1413882/RS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auxílio-alimentação, pago em espécie e com habitualidade, por meio de vale-alimentação ou na forma de tickets, tem natureza salarial e integra o salário de contribuição para fins de cálculo da renda mensal inicial (RMI)."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"I) Anteriormente à vigência da Lei n. 13.416/2017, o auxílio-alimentação, pago em espécie e com habitualidade ou por meio de vale-alimentação/cartão ou tíquete-refeição/alimentação ou equivalente, integra a remuneração, constitui base de incidência da contribuição previdenciária patronal e do segurado, refletindo no cálculo da renda mensal inicial do benefício, esteja a empresa inscrita ou não no Programa de Alimentação do Trabalhador - PAT; II) A partir de 11/11/2017, com a vigência da Lei n. 13.416/2017, que conferiu nova redação ao § 2º do art. 457 da CLT, somente o pagamento do auxílio-alimentação em dinheiro integra a remuneração, constitui base de incidência da contribuição previdenciária patronal e do segurado, refletindo no cálculo da renda mensal inicial do benefício, esteja a empresa inscrita ou não no Programa de Alimentação do Trabalhador - PAT." (Tema 244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Alteração do coeficiente de cálculo de pensão, RMI - Renda Mensal Inicial, RMI - Renda Mensal Inicial, Reajustes e Revisões Específicas, DIREITO PREVIDENCIÁRIO, Competência, Jurisdição e Competência, DIREITO PROCESSUAL CIVIL E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